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17000" w14:textId="1E4047DE" w:rsidR="0053712F" w:rsidRPr="0053712F" w:rsidRDefault="0053712F" w:rsidP="00F30B94">
      <w:pPr>
        <w:rPr>
          <w:rFonts w:ascii="Roboto" w:hAnsi="Roboto" w:cs="Times New Roman"/>
          <w:sz w:val="20"/>
          <w:szCs w:val="20"/>
          <w:lang w:val="en-GB"/>
        </w:rPr>
      </w:pPr>
    </w:p>
    <w:p w14:paraId="40D2BE4A" w14:textId="77777777" w:rsidR="00041669" w:rsidRPr="00041669" w:rsidRDefault="001D650B" w:rsidP="004F5025">
      <w:pPr>
        <w:jc w:val="center"/>
        <w:rPr>
          <w:rFonts w:ascii="Roboto" w:hAnsi="Roboto" w:cs="Times New Roman"/>
          <w:b/>
          <w:sz w:val="20"/>
          <w:szCs w:val="20"/>
          <w:lang w:val="en-GB"/>
        </w:rPr>
      </w:pPr>
      <w:r>
        <w:rPr>
          <w:rFonts w:ascii="Roboto" w:hAnsi="Roboto" w:cs="Times New Roman"/>
          <w:b/>
          <w:sz w:val="20"/>
          <w:szCs w:val="20"/>
          <w:lang w:val="en-GB"/>
        </w:rPr>
        <w:t>THE PROTOCOL</w:t>
      </w:r>
      <w:r w:rsidR="00387247">
        <w:rPr>
          <w:rFonts w:ascii="Roboto" w:hAnsi="Roboto" w:cs="Times New Roman"/>
          <w:b/>
          <w:sz w:val="20"/>
          <w:szCs w:val="20"/>
          <w:lang w:val="en-GB"/>
        </w:rPr>
        <w:t xml:space="preserve"> </w:t>
      </w:r>
      <w:r w:rsidR="00387247" w:rsidRPr="00387247">
        <w:rPr>
          <w:rFonts w:ascii="Roboto" w:hAnsi="Roboto" w:cs="Times New Roman"/>
          <w:b/>
          <w:sz w:val="20"/>
          <w:szCs w:val="20"/>
          <w:lang w:val="en-GB"/>
        </w:rPr>
        <w:t>FOR THE PROTECTION OF THE CASPIAN SEA AGAINST POLLUTION FROM LAND-BASED SOURCES AND ACTIVITIES</w:t>
      </w:r>
      <w:r w:rsidR="00387247">
        <w:rPr>
          <w:rFonts w:ascii="Roboto" w:hAnsi="Roboto" w:cs="Times New Roman"/>
          <w:b/>
          <w:sz w:val="20"/>
          <w:szCs w:val="20"/>
          <w:lang w:val="en-GB"/>
        </w:rPr>
        <w:t xml:space="preserve">, PROTOCOL </w:t>
      </w:r>
      <w:r w:rsidR="00387247" w:rsidRPr="00387247">
        <w:rPr>
          <w:rFonts w:ascii="Roboto" w:hAnsi="Roboto" w:cs="Times New Roman"/>
          <w:b/>
          <w:sz w:val="20"/>
          <w:szCs w:val="20"/>
          <w:lang w:val="en-GB"/>
        </w:rPr>
        <w:t>ON THE CONSERVATION OF BIOLOGICAL DIVERSITY,</w:t>
      </w:r>
      <w:r w:rsidR="00387247">
        <w:rPr>
          <w:rFonts w:ascii="Roboto" w:hAnsi="Roboto" w:cs="Times New Roman"/>
          <w:b/>
          <w:sz w:val="20"/>
          <w:szCs w:val="20"/>
          <w:lang w:val="en-GB"/>
        </w:rPr>
        <w:t xml:space="preserve"> AND</w:t>
      </w:r>
      <w:r w:rsidR="00387247" w:rsidRPr="00387247">
        <w:rPr>
          <w:rFonts w:ascii="Roboto" w:hAnsi="Roboto" w:cs="Times New Roman"/>
          <w:b/>
          <w:sz w:val="20"/>
          <w:szCs w:val="20"/>
          <w:lang w:val="en-GB"/>
        </w:rPr>
        <w:t xml:space="preserve"> THE PROTOCOL ON ENVIRONMENTAL IMPACT ASSESMENT IN A TRANSBOUNDARY CONTEXT</w:t>
      </w:r>
    </w:p>
    <w:p w14:paraId="6FDAF452" w14:textId="77777777" w:rsidR="00041669" w:rsidRPr="00631103" w:rsidRDefault="005C15FA" w:rsidP="00631103">
      <w:pPr>
        <w:jc w:val="center"/>
        <w:rPr>
          <w:rFonts w:ascii="Roboto" w:hAnsi="Roboto" w:cs="Times New Roman"/>
          <w:b/>
          <w:sz w:val="20"/>
          <w:szCs w:val="20"/>
          <w:lang w:val="en-GB"/>
        </w:rPr>
      </w:pPr>
      <w:r>
        <w:rPr>
          <w:rFonts w:ascii="Roboto" w:hAnsi="Roboto" w:cs="Times New Roman"/>
          <w:b/>
          <w:sz w:val="20"/>
          <w:szCs w:val="20"/>
          <w:lang w:val="en-GB"/>
        </w:rPr>
        <w:t>Note</w:t>
      </w:r>
      <w:r w:rsidR="00631103" w:rsidRPr="00631103">
        <w:rPr>
          <w:rFonts w:ascii="Roboto" w:hAnsi="Roboto" w:cs="Times New Roman"/>
          <w:b/>
          <w:sz w:val="20"/>
          <w:szCs w:val="20"/>
          <w:lang w:val="en-GB"/>
        </w:rPr>
        <w:t xml:space="preserve"> by the interim Secretariat</w:t>
      </w:r>
    </w:p>
    <w:p w14:paraId="3DDBED05" w14:textId="77777777" w:rsidR="009C4631" w:rsidRPr="00516191" w:rsidRDefault="009C4631" w:rsidP="00A53721">
      <w:pPr>
        <w:rPr>
          <w:rFonts w:ascii="Roboto" w:hAnsi="Roboto" w:cs="Times New Roman"/>
          <w:b/>
          <w:sz w:val="20"/>
          <w:szCs w:val="20"/>
          <w:lang w:val="en-GB"/>
        </w:rPr>
      </w:pPr>
      <w:r w:rsidRPr="00516191">
        <w:rPr>
          <w:rFonts w:ascii="Roboto" w:hAnsi="Roboto" w:cs="Times New Roman"/>
          <w:b/>
          <w:sz w:val="20"/>
          <w:szCs w:val="20"/>
          <w:lang w:val="en-GB"/>
        </w:rPr>
        <w:t>Introduction</w:t>
      </w:r>
    </w:p>
    <w:p w14:paraId="39209CC7" w14:textId="77777777" w:rsidR="00746594" w:rsidRPr="00746594" w:rsidRDefault="00746594" w:rsidP="003910D0">
      <w:pPr>
        <w:rPr>
          <w:rFonts w:ascii="Roboto" w:hAnsi="Roboto" w:cs="Times New Roman"/>
          <w:sz w:val="20"/>
          <w:szCs w:val="20"/>
          <w:lang w:val="en-GB"/>
        </w:rPr>
      </w:pPr>
      <w:r w:rsidRPr="00746594">
        <w:rPr>
          <w:rFonts w:ascii="Roboto" w:hAnsi="Roboto" w:cs="Times New Roman"/>
          <w:sz w:val="20"/>
          <w:szCs w:val="20"/>
          <w:lang w:val="en-GB"/>
        </w:rPr>
        <w:t>Article 6 of the Tehran Convention prescribes that the Contracting Parties “shall co-operate on a multilateral and bilateral basis in the development of protocols to this Convention prescribing additional measures, procedures and standards for the implementation of this Convention”.</w:t>
      </w:r>
    </w:p>
    <w:p w14:paraId="332B4E78" w14:textId="77777777" w:rsidR="00746594" w:rsidRPr="00746594" w:rsidRDefault="00746594" w:rsidP="00B4715E">
      <w:pPr>
        <w:rPr>
          <w:rFonts w:ascii="Roboto" w:hAnsi="Roboto" w:cs="Times New Roman"/>
          <w:sz w:val="20"/>
          <w:szCs w:val="20"/>
          <w:lang w:val="en-GB"/>
        </w:rPr>
      </w:pPr>
      <w:r w:rsidRPr="00746594">
        <w:rPr>
          <w:rFonts w:ascii="Roboto" w:hAnsi="Roboto" w:cs="Times New Roman"/>
          <w:sz w:val="20"/>
          <w:szCs w:val="20"/>
          <w:lang w:val="en-GB"/>
        </w:rPr>
        <w:t>The Convention specifies that protocols are required for: the prevention, reduction and control of pollution from land-based sources (article 7.2), seabed activities (Art. 8), vessels (Art. 9), and dumping (Art. 10.1 and 2); the protection, preservation and restauration of marine biological resources (Art. 14.2); alleviation of implications of sea level fluctuations (Art. 16); and the determination of procedures of environmental impact assessment in a transboundary context (Art. 17.3).</w:t>
      </w:r>
    </w:p>
    <w:p w14:paraId="1F6E12B5" w14:textId="77777777" w:rsidR="00746594" w:rsidRPr="00746594" w:rsidRDefault="00746594" w:rsidP="00746594">
      <w:pPr>
        <w:rPr>
          <w:rFonts w:ascii="Roboto" w:hAnsi="Roboto" w:cs="Times New Roman"/>
          <w:sz w:val="20"/>
          <w:szCs w:val="20"/>
          <w:lang w:val="en-GB"/>
        </w:rPr>
      </w:pPr>
      <w:r w:rsidRPr="00746594">
        <w:rPr>
          <w:rFonts w:ascii="Roboto" w:hAnsi="Roboto" w:cs="Times New Roman"/>
          <w:sz w:val="20"/>
          <w:szCs w:val="20"/>
          <w:lang w:val="en-GB"/>
        </w:rPr>
        <w:t>The Convention furthermore prescribes that the Contracting Parties shall cooperate in addressing environmental emergencies (Art. 13), monitoring (Art. 19), conducting research (Art. 20), exchange and ensuring public access to information on the environmental conditions of the Caspian Sea (Art. 21).</w:t>
      </w:r>
    </w:p>
    <w:p w14:paraId="5CD07DAC" w14:textId="436A6013" w:rsidR="007D4637" w:rsidRPr="007D4637" w:rsidRDefault="007D4637" w:rsidP="007D4637">
      <w:pPr>
        <w:rPr>
          <w:rFonts w:ascii="Roboto" w:hAnsi="Roboto" w:cs="Times New Roman"/>
          <w:sz w:val="20"/>
          <w:szCs w:val="20"/>
          <w:lang w:val="en-GB"/>
        </w:rPr>
      </w:pPr>
      <w:r w:rsidRPr="007D4637">
        <w:rPr>
          <w:rFonts w:ascii="Roboto" w:hAnsi="Roboto" w:cs="Times New Roman"/>
          <w:sz w:val="20"/>
          <w:szCs w:val="20"/>
          <w:lang w:val="en-GB"/>
        </w:rPr>
        <w:t>This note identif</w:t>
      </w:r>
      <w:r w:rsidR="00523236">
        <w:rPr>
          <w:rFonts w:ascii="Roboto" w:hAnsi="Roboto" w:cs="Times New Roman"/>
          <w:sz w:val="20"/>
          <w:szCs w:val="20"/>
          <w:lang w:val="en-GB"/>
        </w:rPr>
        <w:t>ies</w:t>
      </w:r>
      <w:r w:rsidRPr="007D4637">
        <w:rPr>
          <w:rFonts w:ascii="Roboto" w:hAnsi="Roboto" w:cs="Times New Roman"/>
          <w:sz w:val="20"/>
          <w:szCs w:val="20"/>
          <w:lang w:val="en-GB"/>
        </w:rPr>
        <w:t xml:space="preserve"> the priority areas of implementation of the: </w:t>
      </w:r>
    </w:p>
    <w:p w14:paraId="45721A1B" w14:textId="77777777" w:rsidR="007D4637" w:rsidRPr="007D4637" w:rsidRDefault="007D4637" w:rsidP="007D4637">
      <w:pPr>
        <w:pStyle w:val="ListParagraph"/>
        <w:numPr>
          <w:ilvl w:val="0"/>
          <w:numId w:val="21"/>
        </w:numPr>
        <w:rPr>
          <w:rFonts w:ascii="Roboto" w:hAnsi="Roboto" w:cs="Times New Roman"/>
          <w:sz w:val="20"/>
          <w:szCs w:val="20"/>
          <w:lang w:val="en-GB"/>
        </w:rPr>
      </w:pPr>
      <w:r>
        <w:rPr>
          <w:rFonts w:ascii="Roboto" w:hAnsi="Roboto" w:cs="Times New Roman"/>
          <w:sz w:val="20"/>
          <w:szCs w:val="20"/>
          <w:lang w:val="en-GB"/>
        </w:rPr>
        <w:t>Protocol for the Protection of the Caspian Sea against Pollution from Land-based Sources and Activities</w:t>
      </w:r>
      <w:r w:rsidR="005B19D0">
        <w:rPr>
          <w:rFonts w:ascii="Roboto" w:hAnsi="Roboto" w:cs="Times New Roman"/>
          <w:sz w:val="20"/>
          <w:szCs w:val="20"/>
          <w:lang w:val="en-GB"/>
        </w:rPr>
        <w:t xml:space="preserve"> (Moscow Protocol)</w:t>
      </w:r>
    </w:p>
    <w:p w14:paraId="456069DB" w14:textId="77777777" w:rsidR="007D4637" w:rsidRPr="007D4637" w:rsidRDefault="005B19D0" w:rsidP="007D4637">
      <w:pPr>
        <w:pStyle w:val="ListParagraph"/>
        <w:numPr>
          <w:ilvl w:val="0"/>
          <w:numId w:val="21"/>
        </w:numPr>
        <w:rPr>
          <w:rFonts w:ascii="Roboto" w:hAnsi="Roboto" w:cs="Times New Roman"/>
          <w:sz w:val="20"/>
          <w:szCs w:val="20"/>
          <w:lang w:val="en-GB"/>
        </w:rPr>
      </w:pPr>
      <w:r>
        <w:rPr>
          <w:rFonts w:ascii="Roboto" w:hAnsi="Roboto" w:cs="Times New Roman"/>
          <w:sz w:val="20"/>
          <w:szCs w:val="20"/>
          <w:lang w:val="en-GB"/>
        </w:rPr>
        <w:t>Protocol on the Conservation of Biological Diversity (Ashgabat Protocol)</w:t>
      </w:r>
    </w:p>
    <w:p w14:paraId="1EC9CD8D" w14:textId="77777777" w:rsidR="0062512F" w:rsidRPr="007D4637" w:rsidRDefault="005B19D0" w:rsidP="00746594">
      <w:pPr>
        <w:pStyle w:val="ListParagraph"/>
        <w:numPr>
          <w:ilvl w:val="0"/>
          <w:numId w:val="21"/>
        </w:numPr>
        <w:rPr>
          <w:rFonts w:ascii="Roboto" w:hAnsi="Roboto" w:cs="Times New Roman"/>
          <w:sz w:val="20"/>
          <w:szCs w:val="20"/>
          <w:lang w:val="en-GB"/>
        </w:rPr>
      </w:pPr>
      <w:r>
        <w:rPr>
          <w:rFonts w:ascii="Roboto" w:hAnsi="Roboto" w:cs="Times New Roman"/>
          <w:sz w:val="20"/>
          <w:szCs w:val="20"/>
          <w:lang w:val="en-GB"/>
        </w:rPr>
        <w:t>Protocol on Environmental Impact Assessment in a Transboundary Context (EIA Protocol)</w:t>
      </w:r>
    </w:p>
    <w:p w14:paraId="3EDF6FA4" w14:textId="77777777" w:rsidR="009D62A3" w:rsidRPr="00516191" w:rsidRDefault="009D62A3" w:rsidP="00746594">
      <w:pPr>
        <w:rPr>
          <w:rFonts w:ascii="Roboto" w:hAnsi="Roboto" w:cs="Times New Roman"/>
          <w:sz w:val="20"/>
          <w:szCs w:val="20"/>
          <w:lang w:val="en-GB"/>
        </w:rPr>
      </w:pPr>
      <w:r w:rsidRPr="00516191">
        <w:rPr>
          <w:rFonts w:ascii="Roboto" w:hAnsi="Roboto" w:cs="Times New Roman"/>
          <w:b/>
          <w:sz w:val="20"/>
          <w:szCs w:val="20"/>
          <w:lang w:val="en-GB"/>
        </w:rPr>
        <w:t>Timeline of the Protocols</w:t>
      </w:r>
      <w:r w:rsidR="000D070F" w:rsidRPr="00516191">
        <w:rPr>
          <w:rFonts w:ascii="Roboto" w:hAnsi="Roboto" w:cs="Times New Roman"/>
          <w:b/>
          <w:sz w:val="20"/>
          <w:szCs w:val="20"/>
          <w:lang w:val="en-GB"/>
        </w:rPr>
        <w:t xml:space="preserve"> and Status of Ratification</w:t>
      </w:r>
    </w:p>
    <w:p w14:paraId="1CCAC31E" w14:textId="7A0E7633" w:rsidR="00B479DF" w:rsidRDefault="00B479DF" w:rsidP="00746594">
      <w:pPr>
        <w:rPr>
          <w:rFonts w:ascii="Roboto" w:hAnsi="Roboto" w:cs="Times New Roman"/>
          <w:sz w:val="20"/>
          <w:szCs w:val="20"/>
          <w:lang w:val="en-GB"/>
        </w:rPr>
      </w:pPr>
      <w:r>
        <w:rPr>
          <w:rFonts w:ascii="Roboto" w:hAnsi="Roboto" w:cs="Times New Roman"/>
          <w:sz w:val="20"/>
          <w:szCs w:val="20"/>
          <w:lang w:val="en-GB"/>
        </w:rPr>
        <w:t xml:space="preserve">The </w:t>
      </w:r>
      <w:r w:rsidRPr="00B479DF">
        <w:rPr>
          <w:rFonts w:ascii="Roboto" w:hAnsi="Roboto" w:cs="Times New Roman"/>
          <w:sz w:val="20"/>
          <w:szCs w:val="20"/>
          <w:lang w:val="en-GB"/>
        </w:rPr>
        <w:t xml:space="preserve">Protocol on Environmental Impact Assessment in a Transboundary Context (EIA Protocol); Protocol on the Conservation of Biological Diversity </w:t>
      </w:r>
      <w:r w:rsidRPr="009D09A6">
        <w:rPr>
          <w:rFonts w:ascii="Roboto" w:hAnsi="Roboto" w:cs="Times New Roman"/>
          <w:sz w:val="20"/>
          <w:szCs w:val="20"/>
          <w:lang w:val="en-GB"/>
        </w:rPr>
        <w:t>(Biodiversity Protocol); and Protocol for the Protection of the Caspian Sea against Pollution from Land-based Sources and Activities (LBS Protocol</w:t>
      </w:r>
      <w:r w:rsidRPr="00B479DF">
        <w:rPr>
          <w:rFonts w:ascii="Roboto" w:hAnsi="Roboto" w:cs="Times New Roman"/>
          <w:sz w:val="20"/>
          <w:szCs w:val="20"/>
          <w:lang w:val="en-GB"/>
        </w:rPr>
        <w:t>)</w:t>
      </w:r>
      <w:r>
        <w:rPr>
          <w:rFonts w:ascii="Roboto" w:hAnsi="Roboto" w:cs="Times New Roman"/>
          <w:sz w:val="20"/>
          <w:szCs w:val="20"/>
          <w:lang w:val="en-GB"/>
        </w:rPr>
        <w:t xml:space="preserve"> were developed </w:t>
      </w:r>
      <w:r w:rsidRPr="00B479DF">
        <w:rPr>
          <w:rFonts w:ascii="Roboto" w:hAnsi="Roboto" w:cs="Times New Roman"/>
          <w:sz w:val="20"/>
          <w:szCs w:val="20"/>
          <w:lang w:val="en-GB"/>
        </w:rPr>
        <w:t>through rounds of negotiation, training workshops and meetings of the State Signatories to the Convention (July 2004 and February 2006)</w:t>
      </w:r>
      <w:r>
        <w:rPr>
          <w:rFonts w:ascii="Roboto" w:hAnsi="Roboto" w:cs="Times New Roman"/>
          <w:sz w:val="20"/>
          <w:szCs w:val="20"/>
          <w:lang w:val="en-GB"/>
        </w:rPr>
        <w:t xml:space="preserve"> i</w:t>
      </w:r>
      <w:r w:rsidR="00746594" w:rsidRPr="00746594">
        <w:rPr>
          <w:rFonts w:ascii="Roboto" w:hAnsi="Roboto" w:cs="Times New Roman"/>
          <w:sz w:val="20"/>
          <w:szCs w:val="20"/>
          <w:lang w:val="en-GB"/>
        </w:rPr>
        <w:t>n preparation of the first Meeting of the Co</w:t>
      </w:r>
      <w:r>
        <w:rPr>
          <w:rFonts w:ascii="Roboto" w:hAnsi="Roboto" w:cs="Times New Roman"/>
          <w:sz w:val="20"/>
          <w:szCs w:val="20"/>
          <w:lang w:val="en-GB"/>
        </w:rPr>
        <w:t>nference of the Parties (COP1).</w:t>
      </w:r>
    </w:p>
    <w:p w14:paraId="17D97BFD" w14:textId="41A21942" w:rsidR="00FF6A1A" w:rsidRDefault="00FF6A1A" w:rsidP="00B65877">
      <w:pPr>
        <w:rPr>
          <w:rFonts w:ascii="Roboto" w:hAnsi="Roboto" w:cs="Times New Roman"/>
          <w:sz w:val="20"/>
          <w:szCs w:val="20"/>
          <w:lang w:val="en-GB"/>
        </w:rPr>
      </w:pPr>
      <w:r w:rsidRPr="007A0E76">
        <w:rPr>
          <w:rFonts w:ascii="Roboto" w:hAnsi="Roboto" w:cs="Times New Roman"/>
          <w:sz w:val="20"/>
          <w:szCs w:val="20"/>
          <w:lang w:val="en-GB"/>
        </w:rPr>
        <w:t xml:space="preserve">Furthermore, through expert meetings in May and September 2005, based on the Caspian Sea Plan Concerning Regional Co-operation in Combating Oil Pollution in Cases of Emergency, developed with the </w:t>
      </w:r>
      <w:r w:rsidRPr="007A0E76">
        <w:rPr>
          <w:rFonts w:ascii="Roboto" w:hAnsi="Roboto" w:cs="Times New Roman"/>
          <w:sz w:val="20"/>
          <w:szCs w:val="20"/>
          <w:lang w:val="en-GB"/>
        </w:rPr>
        <w:lastRenderedPageBreak/>
        <w:t>assistance of IMO and agreed upon in 2003, a Protocol Concerning Regional Preparedness, Response and Co-operation in Combating Oil Pollution Incidents (Oil Spill Protocol) was developed.</w:t>
      </w:r>
    </w:p>
    <w:p w14:paraId="29AC15E4" w14:textId="77777777" w:rsidR="00746594" w:rsidRPr="00746594" w:rsidRDefault="00746594" w:rsidP="00746594">
      <w:pPr>
        <w:rPr>
          <w:rFonts w:ascii="Roboto" w:hAnsi="Roboto" w:cs="Times New Roman"/>
          <w:sz w:val="20"/>
          <w:szCs w:val="20"/>
          <w:lang w:val="en-GB"/>
        </w:rPr>
      </w:pPr>
      <w:r w:rsidRPr="00746594">
        <w:rPr>
          <w:rFonts w:ascii="Roboto" w:hAnsi="Roboto" w:cs="Times New Roman"/>
          <w:sz w:val="20"/>
          <w:szCs w:val="20"/>
          <w:lang w:val="en-GB"/>
        </w:rPr>
        <w:t>The Presidents of the Caspian States, in the Final Declaration adopted at their second Summit Meeting, 16 November 2007, Tehran, IR</w:t>
      </w:r>
      <w:r w:rsidR="00521336">
        <w:rPr>
          <w:rFonts w:ascii="Roboto" w:hAnsi="Roboto" w:cs="Times New Roman"/>
          <w:sz w:val="20"/>
          <w:szCs w:val="20"/>
          <w:lang w:val="en-GB"/>
        </w:rPr>
        <w:t xml:space="preserve"> Iran</w:t>
      </w:r>
      <w:r w:rsidR="009A3A42">
        <w:rPr>
          <w:rFonts w:ascii="Roboto" w:hAnsi="Roboto" w:cs="Times New Roman"/>
          <w:sz w:val="20"/>
          <w:szCs w:val="20"/>
          <w:lang w:val="en-GB"/>
        </w:rPr>
        <w:t>,</w:t>
      </w:r>
      <w:r w:rsidRPr="00746594">
        <w:rPr>
          <w:rFonts w:ascii="Roboto" w:hAnsi="Roboto" w:cs="Times New Roman"/>
          <w:sz w:val="20"/>
          <w:szCs w:val="20"/>
          <w:lang w:val="en-GB"/>
        </w:rPr>
        <w:t xml:space="preserve"> highlighted the need to expedite the development and approval of the ancillary protocols to the Tehran Convention.</w:t>
      </w:r>
    </w:p>
    <w:p w14:paraId="49D083F3" w14:textId="77777777" w:rsidR="00746594" w:rsidRPr="00746594" w:rsidRDefault="00746594" w:rsidP="00746594">
      <w:pPr>
        <w:rPr>
          <w:rFonts w:ascii="Roboto" w:hAnsi="Roboto" w:cs="Times New Roman"/>
          <w:sz w:val="20"/>
          <w:szCs w:val="20"/>
          <w:lang w:val="en-GB"/>
        </w:rPr>
      </w:pPr>
      <w:r w:rsidRPr="00746594">
        <w:rPr>
          <w:rFonts w:ascii="Roboto" w:hAnsi="Roboto" w:cs="Times New Roman"/>
          <w:sz w:val="20"/>
          <w:szCs w:val="20"/>
          <w:lang w:val="en-GB"/>
        </w:rPr>
        <w:t xml:space="preserve">COP2, Tehran, IR Iran, 10-12 November 2008, supported the finalization for subsequent adoption and signing at COP3 of the four Protocols, and “noted the need to continue joint efforts to prepare an intergovernmental agreement on the conservation and rational use of aquatic bioresources of the Caspian Sea”. </w:t>
      </w:r>
    </w:p>
    <w:p w14:paraId="5927645C" w14:textId="60A556C4" w:rsidR="00083A4C" w:rsidRPr="007A0E76" w:rsidRDefault="00746594" w:rsidP="00083A4C">
      <w:pPr>
        <w:rPr>
          <w:rFonts w:ascii="Roboto" w:hAnsi="Roboto" w:cs="Times New Roman"/>
          <w:sz w:val="20"/>
          <w:szCs w:val="20"/>
          <w:lang w:val="en-GB"/>
        </w:rPr>
      </w:pPr>
      <w:r w:rsidRPr="00746594">
        <w:rPr>
          <w:rFonts w:ascii="Roboto" w:hAnsi="Roboto" w:cs="Times New Roman"/>
          <w:sz w:val="20"/>
          <w:szCs w:val="20"/>
          <w:lang w:val="en-GB"/>
        </w:rPr>
        <w:t>In preparation of COP3 (Aktau, Rep of Kazakhstan, 10-12 August 2011) three rounds of negotiation took place on the Biodiversity Protocol and two on the LBS Protocol. A few issues remained outstanding. COP3 underlined the importance of their completion. In two meetings the Contracting Parties reached agreement in principle on the EIA Protocol; COP3 decided that the arrangements for adoption and signing should be finalized soonest.</w:t>
      </w:r>
      <w:r w:rsidR="007B1CAC">
        <w:rPr>
          <w:rFonts w:ascii="Roboto" w:hAnsi="Roboto" w:cs="Times New Roman"/>
          <w:sz w:val="20"/>
          <w:szCs w:val="20"/>
          <w:lang w:val="en-GB"/>
        </w:rPr>
        <w:t xml:space="preserve"> </w:t>
      </w:r>
      <w:r w:rsidR="00083A4C" w:rsidRPr="007A0E76">
        <w:rPr>
          <w:rFonts w:ascii="Roboto" w:hAnsi="Roboto" w:cs="Times New Roman"/>
          <w:sz w:val="20"/>
          <w:szCs w:val="20"/>
          <w:lang w:val="en-GB"/>
        </w:rPr>
        <w:t xml:space="preserve">COP3 adopted the Oil Spill (Aktau) Protocol. </w:t>
      </w:r>
    </w:p>
    <w:p w14:paraId="6EC4BC56" w14:textId="77777777" w:rsidR="00746594" w:rsidRPr="007A0E76" w:rsidRDefault="00746594" w:rsidP="00746594">
      <w:pPr>
        <w:rPr>
          <w:rFonts w:ascii="Roboto" w:hAnsi="Roboto" w:cs="Times New Roman"/>
          <w:sz w:val="20"/>
          <w:szCs w:val="20"/>
          <w:lang w:val="en-GB"/>
        </w:rPr>
      </w:pPr>
      <w:r w:rsidRPr="007A0E76">
        <w:rPr>
          <w:rFonts w:ascii="Roboto" w:hAnsi="Roboto" w:cs="Times New Roman"/>
          <w:sz w:val="20"/>
          <w:szCs w:val="20"/>
          <w:lang w:val="en-GB"/>
        </w:rPr>
        <w:t xml:space="preserve">At PrepCom 1 of COP4 in Geneva, 11-13 July 2012, the texts of the Biodiversity, LBS and EIA Protocols were agreed upon, with two proposals of Turkmenistan on the last two Protocols pending.  </w:t>
      </w:r>
    </w:p>
    <w:p w14:paraId="0C7A14B3" w14:textId="77777777" w:rsidR="00746594" w:rsidRPr="007A0E76" w:rsidRDefault="00746594" w:rsidP="00746594">
      <w:pPr>
        <w:rPr>
          <w:rFonts w:ascii="Roboto" w:hAnsi="Roboto" w:cs="Times New Roman"/>
          <w:sz w:val="20"/>
          <w:szCs w:val="20"/>
          <w:lang w:val="en-GB"/>
        </w:rPr>
      </w:pPr>
      <w:r w:rsidRPr="007A0E76">
        <w:rPr>
          <w:rFonts w:ascii="Roboto" w:hAnsi="Roboto" w:cs="Times New Roman"/>
          <w:sz w:val="20"/>
          <w:szCs w:val="20"/>
          <w:lang w:val="en-GB"/>
        </w:rPr>
        <w:t>On 12 December 2012, in Moscow, Russian Federation, COP4 adopted the (Moscow) LBS Protocol. IR Iran and Turkmenistan signed and ratified the Protocol; Azerbaijan acceded to it. Kazakhstan and Russian Feder</w:t>
      </w:r>
      <w:r w:rsidR="0086535C" w:rsidRPr="007A0E76">
        <w:rPr>
          <w:rFonts w:ascii="Roboto" w:hAnsi="Roboto" w:cs="Times New Roman"/>
          <w:sz w:val="20"/>
          <w:szCs w:val="20"/>
          <w:lang w:val="en-GB"/>
        </w:rPr>
        <w:t>ation signed the Protocol</w:t>
      </w:r>
      <w:r w:rsidRPr="007A0E76">
        <w:rPr>
          <w:rFonts w:ascii="Roboto" w:hAnsi="Roboto" w:cs="Times New Roman"/>
          <w:sz w:val="20"/>
          <w:szCs w:val="20"/>
          <w:lang w:val="en-GB"/>
        </w:rPr>
        <w:t>.</w:t>
      </w:r>
      <w:r w:rsidR="0086535C" w:rsidRPr="007A0E76">
        <w:rPr>
          <w:rFonts w:ascii="Roboto" w:hAnsi="Roboto" w:cs="Times New Roman"/>
          <w:sz w:val="20"/>
          <w:szCs w:val="20"/>
          <w:lang w:val="en-GB"/>
        </w:rPr>
        <w:t xml:space="preserve"> Kazakhstan ratified it in 2021, while the ratification of the Russian Federation is pending.</w:t>
      </w:r>
    </w:p>
    <w:p w14:paraId="204B9606" w14:textId="3A13494C" w:rsidR="00C86662" w:rsidRPr="007A0E76" w:rsidRDefault="00746594" w:rsidP="00C86662">
      <w:pPr>
        <w:rPr>
          <w:rFonts w:ascii="Roboto" w:hAnsi="Roboto" w:cs="Times New Roman"/>
          <w:sz w:val="20"/>
          <w:szCs w:val="20"/>
          <w:lang w:val="en-GB"/>
        </w:rPr>
      </w:pPr>
      <w:r w:rsidRPr="007A0E76">
        <w:rPr>
          <w:rFonts w:ascii="Roboto" w:hAnsi="Roboto" w:cs="Times New Roman"/>
          <w:sz w:val="20"/>
          <w:szCs w:val="20"/>
          <w:lang w:val="en-GB"/>
        </w:rPr>
        <w:t>COP4 urged for the finalization of the arrangements for adoption and signature of the Biodiversity and EIA Protocols “as soon as possible before COP5”.</w:t>
      </w:r>
      <w:r w:rsidR="0047067F" w:rsidRPr="007A0E76">
        <w:rPr>
          <w:rFonts w:ascii="Roboto" w:hAnsi="Roboto" w:cs="Times New Roman"/>
          <w:sz w:val="20"/>
          <w:szCs w:val="20"/>
          <w:lang w:val="en-GB"/>
        </w:rPr>
        <w:t xml:space="preserve"> COP4 also welcomed the </w:t>
      </w:r>
      <w:r w:rsidR="00C86662" w:rsidRPr="007A0E76">
        <w:rPr>
          <w:rFonts w:ascii="Roboto" w:hAnsi="Roboto" w:cs="Times New Roman"/>
          <w:sz w:val="20"/>
          <w:szCs w:val="20"/>
          <w:lang w:val="en-GB"/>
        </w:rPr>
        <w:t>preparation process of the Caspian Sea Plan concerning Regional Co-operation in Combating Oil Pollution in Cases of Emergency (Aktau Protocol Implementation Plan) - initiated at the IMO organized workshop in Baku, 18-20 June 2012.</w:t>
      </w:r>
    </w:p>
    <w:p w14:paraId="2EAD0C28" w14:textId="6373B6F8" w:rsidR="00746594" w:rsidRPr="007A0E76" w:rsidRDefault="00746594" w:rsidP="00746594">
      <w:pPr>
        <w:rPr>
          <w:rFonts w:ascii="Roboto" w:hAnsi="Roboto" w:cs="Times New Roman"/>
          <w:sz w:val="20"/>
          <w:szCs w:val="20"/>
          <w:lang w:val="en-GB"/>
        </w:rPr>
      </w:pPr>
      <w:r w:rsidRPr="007A0E76">
        <w:rPr>
          <w:rFonts w:ascii="Roboto" w:hAnsi="Roboto" w:cs="Times New Roman"/>
          <w:sz w:val="20"/>
          <w:szCs w:val="20"/>
          <w:lang w:val="en-GB"/>
        </w:rPr>
        <w:t>On 30 May 2014, in Ashgabat, Turkmenistan, COP5 adopted the (Ashgabat) Biodiversity Protocol. The Ashgabat Protocol was signed by I.R. Iran, Russian Federation and Turkmenistan o</w:t>
      </w:r>
      <w:r w:rsidR="001C540E" w:rsidRPr="007A0E76">
        <w:rPr>
          <w:rFonts w:ascii="Roboto" w:hAnsi="Roboto" w:cs="Times New Roman"/>
          <w:sz w:val="20"/>
          <w:szCs w:val="20"/>
          <w:lang w:val="en-GB"/>
        </w:rPr>
        <w:t>n the same date.</w:t>
      </w:r>
      <w:r w:rsidRPr="007A0E76">
        <w:rPr>
          <w:rFonts w:ascii="Roboto" w:hAnsi="Roboto" w:cs="Times New Roman"/>
          <w:sz w:val="20"/>
          <w:szCs w:val="20"/>
          <w:lang w:val="en-GB"/>
        </w:rPr>
        <w:t xml:space="preserve"> Turkmenistan ratified the A</w:t>
      </w:r>
      <w:r w:rsidR="001C540E" w:rsidRPr="007A0E76">
        <w:rPr>
          <w:rFonts w:ascii="Roboto" w:hAnsi="Roboto" w:cs="Times New Roman"/>
          <w:sz w:val="20"/>
          <w:szCs w:val="20"/>
          <w:lang w:val="en-GB"/>
        </w:rPr>
        <w:t>shgabat Protocol on 23 May 2015, while I.R. Iran and Kazakhstan ratified it on 17 and 23 October 2021 respectively.</w:t>
      </w:r>
      <w:r w:rsidR="00510FFC" w:rsidRPr="007A0E76">
        <w:rPr>
          <w:rFonts w:ascii="Roboto" w:hAnsi="Roboto" w:cs="Times New Roman"/>
          <w:sz w:val="20"/>
          <w:szCs w:val="20"/>
          <w:lang w:val="en-GB"/>
        </w:rPr>
        <w:t xml:space="preserve"> </w:t>
      </w:r>
      <w:r w:rsidRPr="007A0E76">
        <w:rPr>
          <w:rFonts w:ascii="Roboto" w:hAnsi="Roboto" w:cs="Times New Roman"/>
          <w:sz w:val="20"/>
          <w:szCs w:val="20"/>
          <w:lang w:val="en-GB"/>
        </w:rPr>
        <w:t>The entry into force of the Ashgabat Protocol is subject to its accession and ratificat</w:t>
      </w:r>
      <w:r w:rsidR="00A12AFF" w:rsidRPr="007A0E76">
        <w:rPr>
          <w:rFonts w:ascii="Roboto" w:hAnsi="Roboto" w:cs="Times New Roman"/>
          <w:sz w:val="20"/>
          <w:szCs w:val="20"/>
          <w:lang w:val="en-GB"/>
        </w:rPr>
        <w:t>ion by Azerbaijan</w:t>
      </w:r>
      <w:r w:rsidRPr="007A0E76">
        <w:rPr>
          <w:rFonts w:ascii="Roboto" w:hAnsi="Roboto" w:cs="Times New Roman"/>
          <w:sz w:val="20"/>
          <w:szCs w:val="20"/>
          <w:lang w:val="en-GB"/>
        </w:rPr>
        <w:t xml:space="preserve"> as well </w:t>
      </w:r>
      <w:r w:rsidR="00A12AFF" w:rsidRPr="007A0E76">
        <w:rPr>
          <w:rFonts w:ascii="Roboto" w:hAnsi="Roboto" w:cs="Times New Roman"/>
          <w:sz w:val="20"/>
          <w:szCs w:val="20"/>
          <w:lang w:val="en-GB"/>
        </w:rPr>
        <w:t>as ratification by the</w:t>
      </w:r>
      <w:r w:rsidRPr="007A0E76">
        <w:rPr>
          <w:rFonts w:ascii="Roboto" w:hAnsi="Roboto" w:cs="Times New Roman"/>
          <w:sz w:val="20"/>
          <w:szCs w:val="20"/>
          <w:lang w:val="en-GB"/>
        </w:rPr>
        <w:t xml:space="preserve"> Russian Federation.</w:t>
      </w:r>
    </w:p>
    <w:p w14:paraId="693F38A2" w14:textId="10A01B80" w:rsidR="0015521D" w:rsidRPr="0015521D" w:rsidRDefault="0015521D" w:rsidP="0015521D">
      <w:pPr>
        <w:rPr>
          <w:rFonts w:ascii="Roboto" w:hAnsi="Roboto" w:cs="Times New Roman"/>
          <w:sz w:val="20"/>
          <w:szCs w:val="20"/>
          <w:lang w:val="en-GB"/>
        </w:rPr>
      </w:pPr>
      <w:r w:rsidRPr="007A0E76">
        <w:rPr>
          <w:rFonts w:ascii="Roboto" w:hAnsi="Roboto" w:cs="Times New Roman"/>
          <w:sz w:val="20"/>
          <w:szCs w:val="20"/>
          <w:lang w:val="en-GB"/>
        </w:rPr>
        <w:t>At PrepCom4 for COP6 (Geneva, November 2016) the Parties agreed that the implementation of the Aktau Protocol should be fully integrated in the Tehran Conv</w:t>
      </w:r>
      <w:r w:rsidR="007B1CAC" w:rsidRPr="007A0E76">
        <w:rPr>
          <w:rFonts w:ascii="Roboto" w:hAnsi="Roboto" w:cs="Times New Roman"/>
          <w:sz w:val="20"/>
          <w:szCs w:val="20"/>
          <w:lang w:val="en-GB"/>
        </w:rPr>
        <w:t>entio</w:t>
      </w:r>
      <w:r w:rsidR="00C44F1C" w:rsidRPr="007A0E76">
        <w:rPr>
          <w:rFonts w:ascii="Roboto" w:hAnsi="Roboto" w:cs="Times New Roman"/>
          <w:sz w:val="20"/>
          <w:szCs w:val="20"/>
          <w:lang w:val="en-GB"/>
        </w:rPr>
        <w:t xml:space="preserve">n process and arrangements and </w:t>
      </w:r>
      <w:r w:rsidR="007B1CAC" w:rsidRPr="007A0E76">
        <w:rPr>
          <w:rFonts w:ascii="Roboto" w:hAnsi="Roboto" w:cs="Times New Roman"/>
          <w:sz w:val="20"/>
          <w:szCs w:val="20"/>
          <w:lang w:val="en-GB"/>
        </w:rPr>
        <w:t>that same year the protocol entered into force on 25 July 2016 after having been signed and ratified by all Parties.</w:t>
      </w:r>
    </w:p>
    <w:p w14:paraId="3FB83439" w14:textId="77777777" w:rsidR="00746594" w:rsidRPr="00746594" w:rsidRDefault="00746594" w:rsidP="00746594">
      <w:pPr>
        <w:rPr>
          <w:rFonts w:ascii="Roboto" w:hAnsi="Roboto" w:cs="Times New Roman"/>
          <w:sz w:val="20"/>
          <w:szCs w:val="20"/>
          <w:lang w:val="en-GB"/>
        </w:rPr>
      </w:pPr>
      <w:r w:rsidRPr="00746594">
        <w:rPr>
          <w:rFonts w:ascii="Roboto" w:hAnsi="Roboto" w:cs="Times New Roman"/>
          <w:sz w:val="20"/>
          <w:szCs w:val="20"/>
          <w:lang w:val="en-GB"/>
        </w:rPr>
        <w:t xml:space="preserve">On 20 July 2018 in Moscow, at the Extraordinary Meeting of the COP, the Contracting Parties adopted and signed the EIA Protocol. The Protocol has </w:t>
      </w:r>
      <w:r w:rsidR="008C5868">
        <w:rPr>
          <w:rFonts w:ascii="Roboto" w:hAnsi="Roboto" w:cs="Times New Roman"/>
          <w:sz w:val="20"/>
          <w:szCs w:val="20"/>
          <w:lang w:val="en-GB"/>
        </w:rPr>
        <w:t xml:space="preserve">been ratified by Azerbaijan, Russian Federation, Turkmenistan and Kazakhstan, pending ratification from I.R. Iran. </w:t>
      </w:r>
    </w:p>
    <w:p w14:paraId="6D73FAAE" w14:textId="6E31ABD8" w:rsidR="00747586" w:rsidRPr="00F30B94" w:rsidRDefault="00746594" w:rsidP="00F30B94">
      <w:pPr>
        <w:rPr>
          <w:rFonts w:ascii="Roboto" w:hAnsi="Roboto" w:cs="Times New Roman"/>
          <w:sz w:val="20"/>
          <w:szCs w:val="20"/>
          <w:lang w:val="en-GB"/>
        </w:rPr>
      </w:pPr>
      <w:r w:rsidRPr="00746594">
        <w:rPr>
          <w:rFonts w:ascii="Roboto" w:hAnsi="Roboto" w:cs="Times New Roman"/>
          <w:sz w:val="20"/>
          <w:szCs w:val="20"/>
          <w:lang w:val="en-GB"/>
        </w:rPr>
        <w:t>At their fifth Caspian Summit, 12 August 2018, the leaders of the five Caspian countries instructed to finalize the internal procedures for the entry into force of the protocols to the Tehran Convention.</w:t>
      </w:r>
    </w:p>
    <w:p w14:paraId="1564D90E" w14:textId="77777777" w:rsidR="00747586" w:rsidRPr="00516191" w:rsidRDefault="00722A4F" w:rsidP="001D55E0">
      <w:pPr>
        <w:rPr>
          <w:rFonts w:ascii="Roboto" w:hAnsi="Roboto" w:cs="Times New Roman"/>
          <w:b/>
          <w:sz w:val="20"/>
          <w:szCs w:val="20"/>
          <w:lang w:val="en-GB"/>
        </w:rPr>
      </w:pPr>
      <w:r w:rsidRPr="00516191">
        <w:rPr>
          <w:rFonts w:ascii="Roboto" w:hAnsi="Roboto" w:cs="Times New Roman"/>
          <w:b/>
          <w:sz w:val="20"/>
          <w:szCs w:val="20"/>
          <w:lang w:val="en-GB"/>
        </w:rPr>
        <w:t>Importance</w:t>
      </w:r>
      <w:r w:rsidR="00D65CBC" w:rsidRPr="00516191">
        <w:rPr>
          <w:rFonts w:ascii="Roboto" w:hAnsi="Roboto" w:cs="Times New Roman"/>
          <w:b/>
          <w:sz w:val="20"/>
          <w:szCs w:val="20"/>
          <w:lang w:val="en-GB"/>
        </w:rPr>
        <w:t xml:space="preserve"> and </w:t>
      </w:r>
      <w:r w:rsidR="003C4554" w:rsidRPr="00516191">
        <w:rPr>
          <w:rFonts w:ascii="Roboto" w:hAnsi="Roboto" w:cs="Times New Roman"/>
          <w:b/>
          <w:sz w:val="20"/>
          <w:szCs w:val="20"/>
          <w:lang w:val="en-GB"/>
        </w:rPr>
        <w:t>Objectives</w:t>
      </w:r>
      <w:r w:rsidRPr="00516191">
        <w:rPr>
          <w:rFonts w:ascii="Roboto" w:hAnsi="Roboto" w:cs="Times New Roman"/>
          <w:b/>
          <w:sz w:val="20"/>
          <w:szCs w:val="20"/>
          <w:lang w:val="en-GB"/>
        </w:rPr>
        <w:t xml:space="preserve"> of the Protocols</w:t>
      </w:r>
    </w:p>
    <w:p w14:paraId="58E79AAB" w14:textId="77777777" w:rsidR="002336BF" w:rsidRDefault="009D09A6" w:rsidP="001D55E0">
      <w:pPr>
        <w:rPr>
          <w:rFonts w:ascii="Roboto" w:hAnsi="Roboto" w:cs="Times New Roman"/>
          <w:sz w:val="20"/>
          <w:szCs w:val="20"/>
          <w:lang w:val="en-GB"/>
        </w:rPr>
      </w:pPr>
      <w:r>
        <w:rPr>
          <w:rFonts w:ascii="Roboto" w:hAnsi="Roboto" w:cs="Times New Roman"/>
          <w:sz w:val="20"/>
          <w:szCs w:val="20"/>
          <w:lang w:val="en-GB"/>
        </w:rPr>
        <w:t xml:space="preserve">The Moscow Protocol, </w:t>
      </w:r>
      <w:r w:rsidR="008E70D8">
        <w:rPr>
          <w:rFonts w:ascii="Roboto" w:hAnsi="Roboto" w:cs="Times New Roman"/>
          <w:sz w:val="20"/>
          <w:szCs w:val="20"/>
          <w:lang w:val="en-GB"/>
        </w:rPr>
        <w:t xml:space="preserve">the </w:t>
      </w:r>
      <w:r>
        <w:rPr>
          <w:rFonts w:ascii="Roboto" w:hAnsi="Roboto" w:cs="Times New Roman"/>
          <w:sz w:val="20"/>
          <w:szCs w:val="20"/>
          <w:lang w:val="en-GB"/>
        </w:rPr>
        <w:t>Ashgabat</w:t>
      </w:r>
      <w:r w:rsidR="00702608">
        <w:rPr>
          <w:rFonts w:ascii="Roboto" w:hAnsi="Roboto" w:cs="Times New Roman"/>
          <w:sz w:val="20"/>
          <w:szCs w:val="20"/>
          <w:lang w:val="en-GB"/>
        </w:rPr>
        <w:t xml:space="preserve"> P</w:t>
      </w:r>
      <w:r w:rsidR="009514DC">
        <w:rPr>
          <w:rFonts w:ascii="Roboto" w:hAnsi="Roboto" w:cs="Times New Roman"/>
          <w:sz w:val="20"/>
          <w:szCs w:val="20"/>
          <w:lang w:val="en-GB"/>
        </w:rPr>
        <w:t>rotocol and the EIA Protocol</w:t>
      </w:r>
      <w:r w:rsidR="008D0640">
        <w:rPr>
          <w:rFonts w:ascii="Roboto" w:hAnsi="Roboto" w:cs="Times New Roman"/>
          <w:sz w:val="20"/>
          <w:szCs w:val="20"/>
          <w:lang w:val="en-GB"/>
        </w:rPr>
        <w:t xml:space="preserve"> present</w:t>
      </w:r>
      <w:r w:rsidR="00702608">
        <w:rPr>
          <w:rFonts w:ascii="Roboto" w:hAnsi="Roboto" w:cs="Times New Roman"/>
          <w:sz w:val="20"/>
          <w:szCs w:val="20"/>
          <w:lang w:val="en-GB"/>
        </w:rPr>
        <w:t xml:space="preserve"> specific </w:t>
      </w:r>
      <w:r w:rsidR="00533383">
        <w:rPr>
          <w:rFonts w:ascii="Roboto" w:hAnsi="Roboto" w:cs="Times New Roman"/>
          <w:sz w:val="20"/>
          <w:szCs w:val="20"/>
          <w:lang w:val="en-GB"/>
        </w:rPr>
        <w:t xml:space="preserve">additional measures, procedures and standards for the implementation of the Tehran Convention and offer a comprehensive </w:t>
      </w:r>
      <w:r w:rsidR="00533383">
        <w:rPr>
          <w:rFonts w:ascii="Roboto" w:hAnsi="Roboto" w:cs="Times New Roman"/>
          <w:sz w:val="20"/>
          <w:szCs w:val="20"/>
          <w:lang w:val="en-GB"/>
        </w:rPr>
        <w:lastRenderedPageBreak/>
        <w:t xml:space="preserve">overview of issues </w:t>
      </w:r>
      <w:r w:rsidR="001F51C6">
        <w:rPr>
          <w:rFonts w:ascii="Roboto" w:hAnsi="Roboto" w:cs="Times New Roman"/>
          <w:sz w:val="20"/>
          <w:szCs w:val="20"/>
          <w:lang w:val="en-GB"/>
        </w:rPr>
        <w:t xml:space="preserve">pertaining to </w:t>
      </w:r>
      <w:r w:rsidR="00533383">
        <w:rPr>
          <w:rFonts w:ascii="Roboto" w:hAnsi="Roboto" w:cs="Times New Roman"/>
          <w:sz w:val="20"/>
          <w:szCs w:val="20"/>
          <w:lang w:val="en-GB"/>
        </w:rPr>
        <w:t>and measures</w:t>
      </w:r>
      <w:r w:rsidR="001F51C6">
        <w:rPr>
          <w:rFonts w:ascii="Roboto" w:hAnsi="Roboto" w:cs="Times New Roman"/>
          <w:sz w:val="20"/>
          <w:szCs w:val="20"/>
          <w:lang w:val="en-GB"/>
        </w:rPr>
        <w:t xml:space="preserve"> that can be taken regarding</w:t>
      </w:r>
      <w:r w:rsidR="00533383">
        <w:rPr>
          <w:rFonts w:ascii="Roboto" w:hAnsi="Roboto" w:cs="Times New Roman"/>
          <w:sz w:val="20"/>
          <w:szCs w:val="20"/>
          <w:lang w:val="en-GB"/>
        </w:rPr>
        <w:t xml:space="preserve"> pollution from lan</w:t>
      </w:r>
      <w:r w:rsidR="008D0640">
        <w:rPr>
          <w:rFonts w:ascii="Roboto" w:hAnsi="Roboto" w:cs="Times New Roman"/>
          <w:sz w:val="20"/>
          <w:szCs w:val="20"/>
          <w:lang w:val="en-GB"/>
        </w:rPr>
        <w:t xml:space="preserve">d-based sources and activities (in the case </w:t>
      </w:r>
      <w:r>
        <w:rPr>
          <w:rFonts w:ascii="Roboto" w:hAnsi="Roboto" w:cs="Times New Roman"/>
          <w:sz w:val="20"/>
          <w:szCs w:val="20"/>
          <w:lang w:val="en-GB"/>
        </w:rPr>
        <w:t>of the Moscow</w:t>
      </w:r>
      <w:r w:rsidR="008D0640">
        <w:rPr>
          <w:rFonts w:ascii="Roboto" w:hAnsi="Roboto" w:cs="Times New Roman"/>
          <w:sz w:val="20"/>
          <w:szCs w:val="20"/>
          <w:lang w:val="en-GB"/>
        </w:rPr>
        <w:t xml:space="preserve"> Protocol), </w:t>
      </w:r>
      <w:r w:rsidR="00533383">
        <w:rPr>
          <w:rFonts w:ascii="Roboto" w:hAnsi="Roboto" w:cs="Times New Roman"/>
          <w:sz w:val="20"/>
          <w:szCs w:val="20"/>
          <w:lang w:val="en-GB"/>
        </w:rPr>
        <w:t>ways of ensuring the conservation of biological diversity in the Caspian ecosystems</w:t>
      </w:r>
      <w:r w:rsidR="008D0640">
        <w:rPr>
          <w:rFonts w:ascii="Roboto" w:hAnsi="Roboto" w:cs="Times New Roman"/>
          <w:sz w:val="20"/>
          <w:szCs w:val="20"/>
          <w:lang w:val="en-GB"/>
        </w:rPr>
        <w:t xml:space="preserve"> </w:t>
      </w:r>
      <w:r>
        <w:rPr>
          <w:rFonts w:ascii="Roboto" w:hAnsi="Roboto" w:cs="Times New Roman"/>
          <w:sz w:val="20"/>
          <w:szCs w:val="20"/>
          <w:lang w:val="en-GB"/>
        </w:rPr>
        <w:t>(in the case of the Ashgabat</w:t>
      </w:r>
      <w:r w:rsidR="008D0640">
        <w:rPr>
          <w:rFonts w:ascii="Roboto" w:hAnsi="Roboto" w:cs="Times New Roman"/>
          <w:sz w:val="20"/>
          <w:szCs w:val="20"/>
          <w:lang w:val="en-GB"/>
        </w:rPr>
        <w:t xml:space="preserve"> Protocol)</w:t>
      </w:r>
      <w:r w:rsidR="00533383">
        <w:rPr>
          <w:rFonts w:ascii="Roboto" w:hAnsi="Roboto" w:cs="Times New Roman"/>
          <w:sz w:val="20"/>
          <w:szCs w:val="20"/>
          <w:lang w:val="en-GB"/>
        </w:rPr>
        <w:t xml:space="preserve"> and all the tools and modalities available to </w:t>
      </w:r>
      <w:r w:rsidR="008C15B6">
        <w:rPr>
          <w:rFonts w:ascii="Roboto" w:hAnsi="Roboto" w:cs="Times New Roman"/>
          <w:sz w:val="20"/>
          <w:szCs w:val="20"/>
          <w:lang w:val="en-GB"/>
        </w:rPr>
        <w:t xml:space="preserve">the </w:t>
      </w:r>
      <w:r w:rsidR="00533383">
        <w:rPr>
          <w:rFonts w:ascii="Roboto" w:hAnsi="Roboto" w:cs="Times New Roman"/>
          <w:sz w:val="20"/>
          <w:szCs w:val="20"/>
          <w:lang w:val="en-GB"/>
        </w:rPr>
        <w:t>Contracting Parties to ensure effective environmental impact assessme</w:t>
      </w:r>
      <w:r w:rsidR="008D0640">
        <w:rPr>
          <w:rFonts w:ascii="Roboto" w:hAnsi="Roboto" w:cs="Times New Roman"/>
          <w:sz w:val="20"/>
          <w:szCs w:val="20"/>
          <w:lang w:val="en-GB"/>
        </w:rPr>
        <w:t>nt is carried out in the region (in</w:t>
      </w:r>
      <w:r w:rsidR="007217FA">
        <w:rPr>
          <w:rFonts w:ascii="Roboto" w:hAnsi="Roboto" w:cs="Times New Roman"/>
          <w:sz w:val="20"/>
          <w:szCs w:val="20"/>
          <w:lang w:val="en-GB"/>
        </w:rPr>
        <w:t xml:space="preserve"> the case of the EIA Protocol).</w:t>
      </w:r>
    </w:p>
    <w:p w14:paraId="5F1BA8FE" w14:textId="6C71986B" w:rsidR="00511947" w:rsidRPr="00B65877" w:rsidRDefault="000D4B3E" w:rsidP="00B65877">
      <w:pPr>
        <w:rPr>
          <w:rFonts w:ascii="Roboto" w:hAnsi="Roboto" w:cs="Times New Roman"/>
          <w:sz w:val="20"/>
          <w:szCs w:val="20"/>
          <w:lang w:val="en-GB"/>
        </w:rPr>
      </w:pPr>
      <w:r>
        <w:rPr>
          <w:rFonts w:ascii="Roboto" w:hAnsi="Roboto" w:cs="Times New Roman"/>
          <w:sz w:val="20"/>
          <w:szCs w:val="20"/>
          <w:lang w:val="en-GB"/>
        </w:rPr>
        <w:t>A</w:t>
      </w:r>
      <w:r w:rsidR="00680097">
        <w:rPr>
          <w:rFonts w:ascii="Roboto" w:hAnsi="Roboto" w:cs="Times New Roman"/>
          <w:sz w:val="20"/>
          <w:szCs w:val="20"/>
          <w:lang w:val="en-GB"/>
        </w:rPr>
        <w:t xml:space="preserve"> brief overview of the</w:t>
      </w:r>
      <w:r w:rsidR="000B2B8F">
        <w:rPr>
          <w:rFonts w:ascii="Roboto" w:hAnsi="Roboto" w:cs="Times New Roman"/>
          <w:sz w:val="20"/>
          <w:szCs w:val="20"/>
          <w:lang w:val="en-GB"/>
        </w:rPr>
        <w:t xml:space="preserve"> objectives of the protocols is</w:t>
      </w:r>
      <w:r w:rsidR="00680097">
        <w:rPr>
          <w:rFonts w:ascii="Roboto" w:hAnsi="Roboto" w:cs="Times New Roman"/>
          <w:sz w:val="20"/>
          <w:szCs w:val="20"/>
          <w:lang w:val="en-GB"/>
        </w:rPr>
        <w:t xml:space="preserve"> presented.</w:t>
      </w:r>
    </w:p>
    <w:p w14:paraId="432F10C2" w14:textId="77777777" w:rsidR="00511947" w:rsidRPr="00516191" w:rsidRDefault="0045523B" w:rsidP="00511947">
      <w:pPr>
        <w:numPr>
          <w:ilvl w:val="0"/>
          <w:numId w:val="4"/>
        </w:numPr>
        <w:rPr>
          <w:rFonts w:ascii="Roboto" w:hAnsi="Roboto" w:cs="Times New Roman"/>
          <w:b/>
          <w:sz w:val="20"/>
          <w:szCs w:val="20"/>
        </w:rPr>
      </w:pPr>
      <w:r w:rsidRPr="00516191">
        <w:rPr>
          <w:rFonts w:ascii="Roboto" w:hAnsi="Roboto" w:cs="Times New Roman"/>
          <w:b/>
          <w:sz w:val="20"/>
          <w:szCs w:val="20"/>
        </w:rPr>
        <w:t>Protocol for the P</w:t>
      </w:r>
      <w:r w:rsidR="00511947" w:rsidRPr="00516191">
        <w:rPr>
          <w:rFonts w:ascii="Roboto" w:hAnsi="Roboto" w:cs="Times New Roman"/>
          <w:b/>
          <w:sz w:val="20"/>
          <w:szCs w:val="20"/>
        </w:rPr>
        <w:t>rotect</w:t>
      </w:r>
      <w:r w:rsidRPr="00516191">
        <w:rPr>
          <w:rFonts w:ascii="Roboto" w:hAnsi="Roboto" w:cs="Times New Roman"/>
          <w:b/>
          <w:sz w:val="20"/>
          <w:szCs w:val="20"/>
        </w:rPr>
        <w:t>ion of the Caspian Sea against Pollution from L</w:t>
      </w:r>
      <w:r w:rsidR="00511947" w:rsidRPr="00516191">
        <w:rPr>
          <w:rFonts w:ascii="Roboto" w:hAnsi="Roboto" w:cs="Times New Roman"/>
          <w:b/>
          <w:sz w:val="20"/>
          <w:szCs w:val="20"/>
        </w:rPr>
        <w:t>and-</w:t>
      </w:r>
      <w:r w:rsidRPr="00516191">
        <w:rPr>
          <w:rFonts w:ascii="Roboto" w:hAnsi="Roboto" w:cs="Times New Roman"/>
          <w:b/>
          <w:sz w:val="20"/>
          <w:szCs w:val="20"/>
        </w:rPr>
        <w:t>based Sources and Activities</w:t>
      </w:r>
      <w:r w:rsidR="004D1A15" w:rsidRPr="00516191">
        <w:rPr>
          <w:rFonts w:ascii="Roboto" w:hAnsi="Roboto" w:cs="Times New Roman"/>
          <w:b/>
          <w:sz w:val="20"/>
          <w:szCs w:val="20"/>
        </w:rPr>
        <w:t xml:space="preserve"> (Moscow</w:t>
      </w:r>
      <w:r w:rsidR="002103F5" w:rsidRPr="00516191">
        <w:rPr>
          <w:rFonts w:ascii="Roboto" w:hAnsi="Roboto" w:cs="Times New Roman"/>
          <w:b/>
          <w:sz w:val="20"/>
          <w:szCs w:val="20"/>
        </w:rPr>
        <w:t xml:space="preserve"> Protocol)</w:t>
      </w:r>
    </w:p>
    <w:p w14:paraId="21923BED" w14:textId="24289516" w:rsidR="00511947" w:rsidRPr="00B65877" w:rsidRDefault="00511947" w:rsidP="00B65877">
      <w:pPr>
        <w:rPr>
          <w:rFonts w:ascii="Roboto" w:hAnsi="Roboto" w:cs="Times New Roman"/>
          <w:sz w:val="20"/>
          <w:szCs w:val="20"/>
        </w:rPr>
      </w:pPr>
      <w:r w:rsidRPr="52E84CE5">
        <w:rPr>
          <w:rFonts w:ascii="Roboto" w:hAnsi="Roboto" w:cs="Times New Roman"/>
          <w:sz w:val="20"/>
          <w:szCs w:val="20"/>
        </w:rPr>
        <w:t xml:space="preserve">The main objective of this protocol is to ensure that the Caspian Sea is protected from pollution from land-based sources and activities. It recognizes “the unique ecological and hydrological nature of the Caspian Sea as the largest inland body of water on earth” and it aims to protect and conserve the marine environment and coastal areas and ensure the sustainable use of natural resources of the Caspian Sea taking into account all the dangers and potential environmental problems that may arise as a result of pollution. The key terms are </w:t>
      </w:r>
      <w:r w:rsidRPr="52E84CE5">
        <w:rPr>
          <w:rFonts w:ascii="Roboto" w:hAnsi="Roboto" w:cs="Times New Roman"/>
          <w:i/>
          <w:iCs/>
          <w:sz w:val="20"/>
          <w:szCs w:val="20"/>
        </w:rPr>
        <w:t>prevention, control and reduction</w:t>
      </w:r>
      <w:r w:rsidRPr="52E84CE5">
        <w:rPr>
          <w:rFonts w:ascii="Roboto" w:hAnsi="Roboto" w:cs="Times New Roman"/>
          <w:sz w:val="20"/>
          <w:szCs w:val="20"/>
        </w:rPr>
        <w:t xml:space="preserve">. It defines relevant </w:t>
      </w:r>
      <w:r w:rsidR="647331E3" w:rsidRPr="52E84CE5">
        <w:rPr>
          <w:rFonts w:ascii="Roboto" w:hAnsi="Roboto" w:cs="Times New Roman"/>
          <w:sz w:val="20"/>
          <w:szCs w:val="20"/>
        </w:rPr>
        <w:t>terminology and</w:t>
      </w:r>
      <w:r w:rsidRPr="52E84CE5">
        <w:rPr>
          <w:rFonts w:ascii="Roboto" w:hAnsi="Roboto" w:cs="Times New Roman"/>
          <w:sz w:val="20"/>
          <w:szCs w:val="20"/>
        </w:rPr>
        <w:t xml:space="preserve"> differentiates pollution from point sources and diffuse sources as well as pollution from other activities, the former entailing the adoption and implementation of national action plans. It also addresses the potential transboundary impacts of pollution and sets forth that every Contracting Party should introduce and apply procedures of environmental impact assessment in case it is carrying out actions which may potentially result in pollution. It also establishes guidelines for information and data collection, as well as monitoring and assessment. It also aims to engage the public and encourage the Parties to exchange information. Cooperation (especially scientific and technological) and assistance between</w:t>
      </w:r>
      <w:r w:rsidR="00C00523" w:rsidRPr="52E84CE5">
        <w:rPr>
          <w:rFonts w:ascii="Roboto" w:hAnsi="Roboto" w:cs="Times New Roman"/>
          <w:sz w:val="20"/>
          <w:szCs w:val="20"/>
        </w:rPr>
        <w:t xml:space="preserve"> Contracting Parties is also covered in the protocol, as well as the necessary reporting procedures to ensure the proper implementation of the protocol.</w:t>
      </w:r>
    </w:p>
    <w:p w14:paraId="0211C141" w14:textId="77777777" w:rsidR="0045523B" w:rsidRPr="00516191" w:rsidRDefault="0045523B" w:rsidP="0045523B">
      <w:pPr>
        <w:pStyle w:val="ListParagraph"/>
        <w:numPr>
          <w:ilvl w:val="0"/>
          <w:numId w:val="4"/>
        </w:numPr>
        <w:rPr>
          <w:rStyle w:val="fontstyle01"/>
          <w:rFonts w:ascii="Roboto" w:hAnsi="Roboto" w:cstheme="minorHAnsi"/>
          <w:b/>
          <w:sz w:val="20"/>
          <w:szCs w:val="20"/>
        </w:rPr>
      </w:pPr>
      <w:r w:rsidRPr="00516191">
        <w:rPr>
          <w:rStyle w:val="fontstyle01"/>
          <w:rFonts w:ascii="Roboto" w:hAnsi="Roboto" w:cstheme="minorHAnsi"/>
          <w:b/>
          <w:sz w:val="20"/>
          <w:szCs w:val="20"/>
        </w:rPr>
        <w:t>Protocol for the conservation of biological diversity to the Framework Convention on the protection of the marine environment of the Caspian Sea</w:t>
      </w:r>
      <w:r w:rsidR="004D1A15" w:rsidRPr="00516191">
        <w:rPr>
          <w:rStyle w:val="fontstyle01"/>
          <w:rFonts w:ascii="Roboto" w:hAnsi="Roboto" w:cstheme="minorHAnsi"/>
          <w:b/>
          <w:sz w:val="20"/>
          <w:szCs w:val="20"/>
        </w:rPr>
        <w:t xml:space="preserve"> (Ashgabat</w:t>
      </w:r>
      <w:r w:rsidR="002103F5" w:rsidRPr="00516191">
        <w:rPr>
          <w:rStyle w:val="fontstyle01"/>
          <w:rFonts w:ascii="Roboto" w:hAnsi="Roboto" w:cstheme="minorHAnsi"/>
          <w:b/>
          <w:sz w:val="20"/>
          <w:szCs w:val="20"/>
        </w:rPr>
        <w:t xml:space="preserve"> Protocol)</w:t>
      </w:r>
    </w:p>
    <w:p w14:paraId="7E2F7908" w14:textId="77777777" w:rsidR="008D0B19" w:rsidRDefault="0045523B" w:rsidP="0045523B">
      <w:pPr>
        <w:rPr>
          <w:rStyle w:val="fontstyle01"/>
          <w:rFonts w:ascii="Roboto" w:hAnsi="Roboto" w:cstheme="minorHAnsi"/>
          <w:sz w:val="20"/>
          <w:szCs w:val="20"/>
        </w:rPr>
      </w:pPr>
      <w:r w:rsidRPr="00CE4D06">
        <w:rPr>
          <w:rStyle w:val="fontstyle01"/>
          <w:rFonts w:ascii="Roboto" w:hAnsi="Roboto" w:cstheme="minorHAnsi"/>
          <w:sz w:val="20"/>
          <w:szCs w:val="20"/>
        </w:rPr>
        <w:t>The main objective of this protocol is the protection, preservation and restoration of the “health and integrity of the biological diversity and the ecosystem of the Caspian Sea”. This also includes the safeguarding of threatened species and vulnerable ecosystems, preventing decline, degradation and damage to species, and conserving relevant areas in that context (most notably through the introduction of the List of Protected Areas of the Ca</w:t>
      </w:r>
      <w:r w:rsidR="00F15E47">
        <w:rPr>
          <w:rStyle w:val="fontstyle01"/>
          <w:rFonts w:ascii="Roboto" w:hAnsi="Roboto" w:cstheme="minorHAnsi"/>
          <w:sz w:val="20"/>
          <w:szCs w:val="20"/>
        </w:rPr>
        <w:t>spian Sea (PACS)). This covers</w:t>
      </w:r>
      <w:r w:rsidRPr="00CE4D06">
        <w:rPr>
          <w:rStyle w:val="fontstyle01"/>
          <w:rFonts w:ascii="Roboto" w:hAnsi="Roboto" w:cstheme="minorHAnsi"/>
          <w:sz w:val="20"/>
          <w:szCs w:val="20"/>
        </w:rPr>
        <w:t xml:space="preserve"> active engagement of Contracting Parties both on a national and regional level, as well as adequate monitoring, the adoption of national (or regional) strategies, action</w:t>
      </w:r>
      <w:r w:rsidR="00673035">
        <w:rPr>
          <w:rStyle w:val="fontstyle01"/>
          <w:rFonts w:ascii="Roboto" w:hAnsi="Roboto" w:cstheme="minorHAnsi"/>
          <w:sz w:val="20"/>
          <w:szCs w:val="20"/>
        </w:rPr>
        <w:t xml:space="preserve"> plans and programmes and</w:t>
      </w:r>
      <w:r w:rsidRPr="00CE4D06">
        <w:rPr>
          <w:rStyle w:val="fontstyle01"/>
          <w:rFonts w:ascii="Roboto" w:hAnsi="Roboto" w:cstheme="minorHAnsi"/>
          <w:sz w:val="20"/>
          <w:szCs w:val="20"/>
        </w:rPr>
        <w:t xml:space="preserve"> the identification and compilation of inventories of biological diversity and habitats that every Contracting Party is expected to undertake. </w:t>
      </w:r>
    </w:p>
    <w:p w14:paraId="7E431E5E" w14:textId="77777777" w:rsidR="0045523B" w:rsidRPr="00EE38A3" w:rsidRDefault="0045523B" w:rsidP="0045523B">
      <w:pPr>
        <w:rPr>
          <w:rFonts w:ascii="Roboto" w:hAnsi="Roboto" w:cstheme="minorHAnsi"/>
          <w:color w:val="000000"/>
          <w:sz w:val="20"/>
          <w:szCs w:val="20"/>
        </w:rPr>
      </w:pPr>
      <w:r w:rsidRPr="00CE4D06">
        <w:rPr>
          <w:rStyle w:val="fontstyle01"/>
          <w:rFonts w:ascii="Roboto" w:hAnsi="Roboto" w:cstheme="minorHAnsi"/>
          <w:sz w:val="20"/>
          <w:szCs w:val="20"/>
        </w:rPr>
        <w:t>The inventories of threatened species of flora and fauna should therefore be integral to the process of the development of the Caspian Red Book, which is to be adopted by the COP. The protocol first covers species (including alien species and genetically modified species), and then covers the protection and conservation of protected areas. This includes the management of protected areas (in terms of activities which may result in harm of said areas), as well as the procedural matters relating to the establishment of PACS.  It also covers relevant legal instruments to the protocol as well as the question of access to genetic resources, access to and transfer of technology, scientific cooperation and assistance, the engagement of the public in issues relating to the conservation of biological diversity of the Caspian Sea and the responsibility of Contracting Parties to report on all actions undertaken in achieving the objectives of this protocol.</w:t>
      </w:r>
    </w:p>
    <w:p w14:paraId="6FF0F3A8" w14:textId="77777777" w:rsidR="00511947" w:rsidRDefault="00511947" w:rsidP="001D55E0">
      <w:pPr>
        <w:rPr>
          <w:rFonts w:ascii="Roboto" w:hAnsi="Roboto" w:cs="Times New Roman"/>
          <w:sz w:val="20"/>
          <w:szCs w:val="20"/>
          <w:lang w:val="en-GB"/>
        </w:rPr>
      </w:pPr>
    </w:p>
    <w:p w14:paraId="09C06973" w14:textId="77777777" w:rsidR="00EE38A3" w:rsidRPr="00516191" w:rsidRDefault="00EE38A3" w:rsidP="00EE38A3">
      <w:pPr>
        <w:pStyle w:val="ListParagraph"/>
        <w:numPr>
          <w:ilvl w:val="0"/>
          <w:numId w:val="4"/>
        </w:numPr>
        <w:rPr>
          <w:rStyle w:val="fontstyle01"/>
          <w:rFonts w:ascii="Roboto" w:hAnsi="Roboto" w:cstheme="minorHAnsi"/>
          <w:b/>
          <w:sz w:val="20"/>
          <w:szCs w:val="20"/>
        </w:rPr>
      </w:pPr>
      <w:r w:rsidRPr="00516191">
        <w:rPr>
          <w:rStyle w:val="fontstyle01"/>
          <w:rFonts w:ascii="Roboto" w:hAnsi="Roboto" w:cstheme="minorHAnsi"/>
          <w:b/>
          <w:sz w:val="20"/>
          <w:szCs w:val="20"/>
        </w:rPr>
        <w:lastRenderedPageBreak/>
        <w:t>Protocol on environmental impact assessment in a transboundary context to the Framework Convention on the protection of the marine environment of the Caspian Sea</w:t>
      </w:r>
      <w:r w:rsidR="0095377F" w:rsidRPr="00516191">
        <w:rPr>
          <w:rStyle w:val="fontstyle01"/>
          <w:rFonts w:ascii="Roboto" w:hAnsi="Roboto" w:cstheme="minorHAnsi"/>
          <w:b/>
          <w:sz w:val="20"/>
          <w:szCs w:val="20"/>
        </w:rPr>
        <w:t xml:space="preserve"> (EIA Protocol)</w:t>
      </w:r>
    </w:p>
    <w:p w14:paraId="359A062B" w14:textId="378BE633" w:rsidR="00C2247B" w:rsidRDefault="00EE38A3" w:rsidP="52E84CE5">
      <w:pPr>
        <w:rPr>
          <w:rStyle w:val="fontstyle01"/>
          <w:rFonts w:ascii="Roboto" w:hAnsi="Roboto"/>
          <w:sz w:val="20"/>
          <w:szCs w:val="20"/>
        </w:rPr>
      </w:pPr>
      <w:r w:rsidRPr="52E84CE5">
        <w:rPr>
          <w:rStyle w:val="fontstyle01"/>
          <w:rFonts w:ascii="Roboto" w:hAnsi="Roboto"/>
          <w:sz w:val="20"/>
          <w:szCs w:val="20"/>
        </w:rPr>
        <w:t>The main objective of this protocol is to “implement effective and transparent environmental impact assessment procedures in a transboundary context”. This applies to any activity that may have negative (transboundary) impact</w:t>
      </w:r>
      <w:r w:rsidR="2717C8CF" w:rsidRPr="52E84CE5">
        <w:rPr>
          <w:rStyle w:val="fontstyle01"/>
          <w:rFonts w:ascii="Roboto" w:hAnsi="Roboto"/>
          <w:sz w:val="20"/>
          <w:szCs w:val="20"/>
        </w:rPr>
        <w:t xml:space="preserve"> “on the marine environment and land affected by proximity”</w:t>
      </w:r>
      <w:r w:rsidRPr="52E84CE5">
        <w:rPr>
          <w:rStyle w:val="fontstyle01"/>
          <w:rFonts w:ascii="Roboto" w:hAnsi="Roboto"/>
          <w:sz w:val="20"/>
          <w:szCs w:val="20"/>
        </w:rPr>
        <w:t xml:space="preserve"> to the Ca</w:t>
      </w:r>
      <w:r w:rsidR="008D0B19" w:rsidRPr="52E84CE5">
        <w:rPr>
          <w:rStyle w:val="fontstyle01"/>
          <w:rFonts w:ascii="Roboto" w:hAnsi="Roboto"/>
          <w:sz w:val="20"/>
          <w:szCs w:val="20"/>
        </w:rPr>
        <w:t>spian Sea. The key is</w:t>
      </w:r>
      <w:r w:rsidRPr="52E84CE5">
        <w:rPr>
          <w:rStyle w:val="fontstyle01"/>
          <w:rFonts w:ascii="Roboto" w:hAnsi="Roboto"/>
          <w:sz w:val="20"/>
          <w:szCs w:val="20"/>
        </w:rPr>
        <w:t xml:space="preserve"> the prevention, reduction and control of pollution, as well as a rational use of available resources and the protection of biodiversity. Concerned Parties are to designate a Point of Contact for Notification, ensure effective public participation in the environmental impact assessment process. </w:t>
      </w:r>
    </w:p>
    <w:p w14:paraId="70EB6B99" w14:textId="77777777" w:rsidR="00C2247B" w:rsidRDefault="00EE38A3" w:rsidP="00EE38A3">
      <w:pPr>
        <w:rPr>
          <w:rStyle w:val="fontstyle01"/>
          <w:rFonts w:ascii="Roboto" w:hAnsi="Roboto" w:cstheme="minorHAnsi"/>
          <w:sz w:val="20"/>
          <w:szCs w:val="20"/>
        </w:rPr>
      </w:pPr>
      <w:r w:rsidRPr="00CE4D06">
        <w:rPr>
          <w:rStyle w:val="fontstyle01"/>
          <w:rFonts w:ascii="Roboto" w:hAnsi="Roboto" w:cstheme="minorHAnsi"/>
          <w:sz w:val="20"/>
          <w:szCs w:val="20"/>
        </w:rPr>
        <w:t>The protocol makes a distinction between Affected Parties and Parties of Origin, the former meaning those likely to be affected by the transboundary effect of an activity, and the latter carrying out that activity. Parties of Origin therefore have a responsibility to communicate with Affected Parties or Party accordingly in order to ensure that relevant information is being relayed in a timely manner in order to facilitate an environmental impact assessment. The protocol lays out the notification procedure from beginning to end, also accounting for the possibility of an Affected Party not willing to participate in the environmental impact assessment or if it does not reply w</w:t>
      </w:r>
      <w:r w:rsidR="00C2247B">
        <w:rPr>
          <w:rStyle w:val="fontstyle01"/>
          <w:rFonts w:ascii="Roboto" w:hAnsi="Roboto" w:cstheme="minorHAnsi"/>
          <w:sz w:val="20"/>
          <w:szCs w:val="20"/>
        </w:rPr>
        <w:t>ithin the necessary time frame.</w:t>
      </w:r>
    </w:p>
    <w:p w14:paraId="138A82D4" w14:textId="547BDD40" w:rsidR="00D527FF" w:rsidRPr="00516191" w:rsidRDefault="00EE38A3" w:rsidP="00B65877">
      <w:pPr>
        <w:rPr>
          <w:rStyle w:val="fontstyle01"/>
          <w:rFonts w:ascii="Roboto" w:hAnsi="Roboto" w:cstheme="minorHAnsi"/>
          <w:sz w:val="20"/>
          <w:szCs w:val="20"/>
        </w:rPr>
      </w:pPr>
      <w:r w:rsidRPr="00CE4D06">
        <w:rPr>
          <w:rStyle w:val="fontstyle01"/>
          <w:rFonts w:ascii="Roboto" w:hAnsi="Roboto" w:cstheme="minorHAnsi"/>
          <w:sz w:val="20"/>
          <w:szCs w:val="20"/>
        </w:rPr>
        <w:t xml:space="preserve">The protocol further covers communication between Concerned Parties, leaving a relatively large amount of freedom to Concerned Parties to regulate modes of communication as they see fit. The environmental impact assessments should crucially be in line with national legislation of the relevant Party of Origin. The protocol covers consultations both between Concerned Parties and with the public. After the adequate procedures have been undertaken, the protocol states that the Competent Authority of the Party of Origin has the responsibility to duly inform Concerned Parties and the Secretariat of its decision. Post-project analyses can be undertaken if deemed necessary by any of the Contracting Parties. </w:t>
      </w:r>
    </w:p>
    <w:p w14:paraId="43C9B544" w14:textId="77777777" w:rsidR="00765F42" w:rsidRPr="00516191" w:rsidRDefault="00765F42" w:rsidP="00765F42">
      <w:pPr>
        <w:rPr>
          <w:rFonts w:ascii="Roboto" w:hAnsi="Roboto" w:cs="Times New Roman"/>
          <w:b/>
          <w:sz w:val="20"/>
          <w:szCs w:val="20"/>
          <w:lang w:val="en-GB"/>
        </w:rPr>
      </w:pPr>
      <w:r w:rsidRPr="00516191">
        <w:rPr>
          <w:rFonts w:ascii="Roboto" w:hAnsi="Roboto" w:cs="Times New Roman"/>
          <w:b/>
          <w:sz w:val="20"/>
          <w:szCs w:val="20"/>
          <w:lang w:val="en-GB"/>
        </w:rPr>
        <w:t>Defining Priorities Moving Forward</w:t>
      </w:r>
    </w:p>
    <w:p w14:paraId="2C3BB8A9" w14:textId="77777777" w:rsidR="001908A5" w:rsidRDefault="00352B14" w:rsidP="00765F42">
      <w:pPr>
        <w:rPr>
          <w:rFonts w:ascii="Roboto" w:hAnsi="Roboto" w:cs="Times New Roman"/>
          <w:sz w:val="20"/>
          <w:szCs w:val="20"/>
          <w:lang w:val="en-GB"/>
        </w:rPr>
      </w:pPr>
      <w:r>
        <w:rPr>
          <w:rFonts w:ascii="Roboto" w:hAnsi="Roboto" w:cs="Times New Roman"/>
          <w:sz w:val="20"/>
          <w:szCs w:val="20"/>
          <w:lang w:val="en-GB"/>
        </w:rPr>
        <w:t>Pending ratification of the Moscow, Ashgabat</w:t>
      </w:r>
      <w:r w:rsidR="00765F42" w:rsidRPr="00765F42">
        <w:rPr>
          <w:rFonts w:ascii="Roboto" w:hAnsi="Roboto" w:cs="Times New Roman"/>
          <w:sz w:val="20"/>
          <w:szCs w:val="20"/>
          <w:lang w:val="en-GB"/>
        </w:rPr>
        <w:t xml:space="preserve"> and EIA Protocols, actions needed to be taken on the logistical side are also considered. In this regard a clear need for extra budgeting and resources, Convention-based in particular is identified. An increase in funding in order to secure the best possible implementation outcomes of the protocols in the coming years should be of priority, parti</w:t>
      </w:r>
      <w:r w:rsidR="00931741">
        <w:rPr>
          <w:rFonts w:ascii="Roboto" w:hAnsi="Roboto" w:cs="Times New Roman"/>
          <w:sz w:val="20"/>
          <w:szCs w:val="20"/>
          <w:lang w:val="en-GB"/>
        </w:rPr>
        <w:t>cularly in light of the historic</w:t>
      </w:r>
      <w:r w:rsidR="00765F42" w:rsidRPr="00765F42">
        <w:rPr>
          <w:rFonts w:ascii="Roboto" w:hAnsi="Roboto" w:cs="Times New Roman"/>
          <w:sz w:val="20"/>
          <w:szCs w:val="20"/>
          <w:lang w:val="en-GB"/>
        </w:rPr>
        <w:t xml:space="preserve"> COP6 due to take place in October 2022.</w:t>
      </w:r>
    </w:p>
    <w:p w14:paraId="0A2805C3" w14:textId="77777777" w:rsidR="00B50086" w:rsidRDefault="00D14E66" w:rsidP="00D14E66">
      <w:pPr>
        <w:rPr>
          <w:rFonts w:ascii="Roboto" w:hAnsi="Roboto" w:cs="Times New Roman"/>
          <w:sz w:val="20"/>
          <w:szCs w:val="20"/>
          <w:lang w:val="en-GB"/>
        </w:rPr>
      </w:pPr>
      <w:r>
        <w:rPr>
          <w:rFonts w:ascii="Roboto" w:hAnsi="Roboto" w:cs="Times New Roman"/>
          <w:sz w:val="20"/>
          <w:szCs w:val="20"/>
          <w:lang w:val="en-GB"/>
        </w:rPr>
        <w:t>The proposed Programme of Work</w:t>
      </w:r>
      <w:r w:rsidR="00B72C30">
        <w:rPr>
          <w:rFonts w:ascii="Roboto" w:hAnsi="Roboto" w:cs="Times New Roman"/>
          <w:sz w:val="20"/>
          <w:szCs w:val="20"/>
          <w:lang w:val="en-GB"/>
        </w:rPr>
        <w:t xml:space="preserve"> (</w:t>
      </w:r>
      <w:r w:rsidR="00B72C30" w:rsidRPr="00B72C30">
        <w:rPr>
          <w:rFonts w:ascii="Roboto" w:hAnsi="Roboto" w:cs="Times New Roman"/>
          <w:sz w:val="20"/>
          <w:szCs w:val="20"/>
          <w:lang w:val="en-GB"/>
        </w:rPr>
        <w:t>TC/COP6/8</w:t>
      </w:r>
      <w:r>
        <w:rPr>
          <w:rFonts w:ascii="Roboto" w:hAnsi="Roboto" w:cs="Times New Roman"/>
          <w:sz w:val="20"/>
          <w:szCs w:val="20"/>
          <w:lang w:val="en-GB"/>
        </w:rPr>
        <w:t xml:space="preserve">) assembled on the basis of the implementation of the decisions taken at the 5th Meeting of the Conference of the Parties to </w:t>
      </w:r>
      <w:r w:rsidRPr="00D14E66">
        <w:rPr>
          <w:rFonts w:ascii="Roboto" w:hAnsi="Roboto" w:cs="Times New Roman"/>
          <w:sz w:val="20"/>
          <w:szCs w:val="20"/>
          <w:lang w:val="en-GB"/>
        </w:rPr>
        <w:t>the Tehran Convention (COP5), Ashgabat, 30 May 2014 (COP5), the extra-ordinary Meeting of the Conference of the Parties</w:t>
      </w:r>
      <w:r>
        <w:rPr>
          <w:rFonts w:ascii="Roboto" w:hAnsi="Roboto" w:cs="Times New Roman"/>
          <w:sz w:val="20"/>
          <w:szCs w:val="20"/>
          <w:lang w:val="en-GB"/>
        </w:rPr>
        <w:t xml:space="preserve"> (ECOP)</w:t>
      </w:r>
      <w:r w:rsidRPr="00D14E66">
        <w:rPr>
          <w:rFonts w:ascii="Roboto" w:hAnsi="Roboto" w:cs="Times New Roman"/>
          <w:sz w:val="20"/>
          <w:szCs w:val="20"/>
          <w:lang w:val="en-GB"/>
        </w:rPr>
        <w:t>, Moscow, 19-20 July 2018, and the consultations and recommendations of the Preparat</w:t>
      </w:r>
      <w:r w:rsidR="00F372BB">
        <w:rPr>
          <w:rFonts w:ascii="Roboto" w:hAnsi="Roboto" w:cs="Times New Roman"/>
          <w:sz w:val="20"/>
          <w:szCs w:val="20"/>
          <w:lang w:val="en-GB"/>
        </w:rPr>
        <w:t xml:space="preserve">ory Committee meetings for COP6 </w:t>
      </w:r>
      <w:r w:rsidR="00B50086">
        <w:rPr>
          <w:rFonts w:ascii="Roboto" w:hAnsi="Roboto" w:cs="Times New Roman"/>
          <w:sz w:val="20"/>
          <w:szCs w:val="20"/>
          <w:lang w:val="en-GB"/>
        </w:rPr>
        <w:t>contains under:</w:t>
      </w:r>
    </w:p>
    <w:p w14:paraId="3C71BF90" w14:textId="2EC1537F" w:rsidR="00B50086" w:rsidRPr="00DB6F15" w:rsidRDefault="00901697" w:rsidP="00DB6F15">
      <w:pPr>
        <w:pStyle w:val="ListParagraph"/>
        <w:numPr>
          <w:ilvl w:val="0"/>
          <w:numId w:val="22"/>
        </w:numPr>
        <w:rPr>
          <w:rFonts w:ascii="Roboto" w:hAnsi="Roboto" w:cs="Times New Roman"/>
          <w:sz w:val="20"/>
          <w:szCs w:val="20"/>
          <w:lang w:val="en-GB"/>
        </w:rPr>
      </w:pPr>
      <w:r>
        <w:rPr>
          <w:rFonts w:ascii="Roboto" w:hAnsi="Roboto" w:cs="Times New Roman"/>
          <w:sz w:val="20"/>
          <w:szCs w:val="20"/>
          <w:lang w:val="en-GB"/>
        </w:rPr>
        <w:t xml:space="preserve"> </w:t>
      </w:r>
      <w:r w:rsidRPr="00901697">
        <w:rPr>
          <w:rFonts w:ascii="Roboto" w:hAnsi="Roboto" w:cs="Times New Roman"/>
          <w:sz w:val="20"/>
          <w:szCs w:val="20"/>
          <w:u w:val="single"/>
          <w:lang w:val="en-GB"/>
        </w:rPr>
        <w:t>A</w:t>
      </w:r>
      <w:r w:rsidR="00B50086" w:rsidRPr="00901697">
        <w:rPr>
          <w:rFonts w:ascii="Roboto" w:hAnsi="Roboto" w:cs="Times New Roman"/>
          <w:sz w:val="20"/>
          <w:szCs w:val="20"/>
          <w:u w:val="single"/>
          <w:lang w:val="en-GB"/>
        </w:rPr>
        <w:t>ctivity 1.3 Administrative activities to ensure contributions to the budget of the Tehran Convention</w:t>
      </w:r>
      <w:r w:rsidR="00FA2138">
        <w:rPr>
          <w:rFonts w:ascii="Roboto" w:hAnsi="Roboto" w:cs="Times New Roman"/>
          <w:sz w:val="20"/>
          <w:szCs w:val="20"/>
          <w:lang w:val="en-GB"/>
        </w:rPr>
        <w:t xml:space="preserve"> </w:t>
      </w:r>
      <w:r w:rsidR="00FA2138" w:rsidRPr="00DB6F15">
        <w:rPr>
          <w:rFonts w:ascii="Roboto" w:hAnsi="Roboto" w:cs="Times New Roman"/>
          <w:sz w:val="20"/>
          <w:szCs w:val="20"/>
          <w:lang w:val="en-GB"/>
        </w:rPr>
        <w:t>the expected output of</w:t>
      </w:r>
      <w:r w:rsidR="00B50086" w:rsidRPr="00DB6F15">
        <w:rPr>
          <w:rFonts w:ascii="Roboto" w:hAnsi="Roboto" w:cs="Times New Roman"/>
          <w:sz w:val="20"/>
          <w:szCs w:val="20"/>
          <w:lang w:val="en-GB"/>
        </w:rPr>
        <w:t xml:space="preserve"> cash and in-kind contributions by Contracting Parties</w:t>
      </w:r>
      <w:r w:rsidR="00DB6F15">
        <w:rPr>
          <w:rFonts w:ascii="Roboto" w:hAnsi="Roboto" w:cs="Times New Roman"/>
          <w:sz w:val="20"/>
          <w:szCs w:val="20"/>
          <w:lang w:val="en-GB"/>
        </w:rPr>
        <w:t xml:space="preserve"> implemented by Caspian Governments</w:t>
      </w:r>
      <w:r w:rsidR="00B50086" w:rsidRPr="00DB6F15">
        <w:rPr>
          <w:rFonts w:ascii="Roboto" w:hAnsi="Roboto" w:cs="Times New Roman"/>
          <w:sz w:val="20"/>
          <w:szCs w:val="20"/>
          <w:lang w:val="en-GB"/>
        </w:rPr>
        <w:t xml:space="preserve"> from their national budgets in accordance with decisions COP1 (p.8), COP2 (p.4), COP3 (p.14), COP4 (p.17), COP5 (p.16)</w:t>
      </w:r>
      <w:r w:rsidRPr="00DB6F15">
        <w:rPr>
          <w:rFonts w:ascii="Roboto" w:hAnsi="Roboto" w:cs="Times New Roman"/>
          <w:sz w:val="20"/>
          <w:szCs w:val="20"/>
          <w:lang w:val="en-GB"/>
        </w:rPr>
        <w:t xml:space="preserve"> </w:t>
      </w:r>
      <w:r w:rsidR="00DB6F15" w:rsidRPr="00DB6F15">
        <w:rPr>
          <w:rFonts w:ascii="Roboto" w:hAnsi="Roboto" w:cs="Times New Roman"/>
          <w:sz w:val="20"/>
          <w:szCs w:val="20"/>
          <w:lang w:val="en-GB"/>
        </w:rPr>
        <w:t>within</w:t>
      </w:r>
      <w:r w:rsidRPr="00DB6F15">
        <w:rPr>
          <w:rFonts w:ascii="Roboto" w:hAnsi="Roboto" w:cs="Times New Roman"/>
          <w:sz w:val="20"/>
          <w:szCs w:val="20"/>
          <w:lang w:val="en-GB"/>
        </w:rPr>
        <w:t xml:space="preserve"> the timeframe of Jan. 202</w:t>
      </w:r>
      <w:r w:rsidR="004B787E">
        <w:rPr>
          <w:rFonts w:ascii="Roboto" w:hAnsi="Roboto" w:cs="Times New Roman"/>
          <w:sz w:val="20"/>
          <w:szCs w:val="20"/>
          <w:lang w:val="en-GB"/>
        </w:rPr>
        <w:t>3</w:t>
      </w:r>
      <w:r w:rsidRPr="00DB6F15">
        <w:rPr>
          <w:rFonts w:ascii="Roboto" w:hAnsi="Roboto" w:cs="Times New Roman"/>
          <w:sz w:val="20"/>
          <w:szCs w:val="20"/>
          <w:lang w:val="en-GB"/>
        </w:rPr>
        <w:t>- Dec. 202</w:t>
      </w:r>
      <w:r w:rsidR="004B787E">
        <w:rPr>
          <w:rFonts w:ascii="Roboto" w:hAnsi="Roboto" w:cs="Times New Roman"/>
          <w:sz w:val="20"/>
          <w:szCs w:val="20"/>
          <w:lang w:val="en-GB"/>
        </w:rPr>
        <w:t>4</w:t>
      </w:r>
    </w:p>
    <w:p w14:paraId="72CEDA37" w14:textId="77777777" w:rsidR="00DB6F15" w:rsidRDefault="00DB6F15" w:rsidP="00DB6F15">
      <w:pPr>
        <w:pStyle w:val="ListParagraph"/>
        <w:rPr>
          <w:rFonts w:ascii="Roboto" w:hAnsi="Roboto" w:cs="Times New Roman"/>
          <w:sz w:val="20"/>
          <w:szCs w:val="20"/>
          <w:lang w:val="en-GB"/>
        </w:rPr>
      </w:pPr>
    </w:p>
    <w:p w14:paraId="19019C58" w14:textId="6A2B4E53" w:rsidR="00D527FF" w:rsidRPr="00B65877" w:rsidRDefault="00901697" w:rsidP="00B65877">
      <w:pPr>
        <w:pStyle w:val="ListParagraph"/>
        <w:numPr>
          <w:ilvl w:val="0"/>
          <w:numId w:val="22"/>
        </w:numPr>
        <w:rPr>
          <w:rFonts w:ascii="Roboto" w:hAnsi="Roboto" w:cs="Times New Roman"/>
          <w:sz w:val="20"/>
          <w:szCs w:val="20"/>
          <w:u w:val="single"/>
          <w:lang w:val="en-GB"/>
        </w:rPr>
      </w:pPr>
      <w:r w:rsidRPr="00C03F3C">
        <w:rPr>
          <w:rFonts w:ascii="Roboto" w:hAnsi="Roboto" w:cs="Times New Roman"/>
          <w:sz w:val="20"/>
          <w:szCs w:val="20"/>
          <w:u w:val="single"/>
          <w:lang w:val="en-GB"/>
        </w:rPr>
        <w:t xml:space="preserve">Activity </w:t>
      </w:r>
      <w:r w:rsidR="00FA2138" w:rsidRPr="00C03F3C">
        <w:rPr>
          <w:rFonts w:ascii="Roboto" w:hAnsi="Roboto" w:cs="Times New Roman"/>
          <w:sz w:val="20"/>
          <w:szCs w:val="20"/>
          <w:u w:val="single"/>
          <w:lang w:val="en-GB"/>
        </w:rPr>
        <w:t>4.1 Activities related to Tehran Convention Protocols (ratification, entry into force and implementation of adopted protocols)</w:t>
      </w:r>
      <w:r w:rsidR="00DB6F15">
        <w:rPr>
          <w:rFonts w:ascii="Roboto" w:hAnsi="Roboto" w:cs="Times New Roman"/>
          <w:sz w:val="20"/>
          <w:szCs w:val="20"/>
          <w:lang w:val="en-GB"/>
        </w:rPr>
        <w:t xml:space="preserve"> the expected output of the ratification of the Moscow Protocol, Ashgabat Protocol and EIA Protocol and agendas/programmes for their implementation in operation implemented by the Caspian Governments </w:t>
      </w:r>
      <w:r w:rsidR="00115190">
        <w:rPr>
          <w:rFonts w:ascii="Roboto" w:hAnsi="Roboto" w:cs="Times New Roman"/>
          <w:sz w:val="20"/>
          <w:szCs w:val="20"/>
          <w:lang w:val="en-GB"/>
        </w:rPr>
        <w:t xml:space="preserve">with support of the TCIS and international partners with predicted financing of 100,000 of Convention sources and </w:t>
      </w:r>
      <w:r w:rsidR="00115190">
        <w:rPr>
          <w:rFonts w:ascii="Roboto" w:hAnsi="Roboto" w:cs="Times New Roman"/>
          <w:sz w:val="20"/>
          <w:szCs w:val="20"/>
          <w:lang w:val="en-GB"/>
        </w:rPr>
        <w:lastRenderedPageBreak/>
        <w:t xml:space="preserve">contributions of international partners in accordance with decisions </w:t>
      </w:r>
      <w:r w:rsidR="004624BF" w:rsidRPr="00115190">
        <w:rPr>
          <w:rFonts w:ascii="Roboto" w:hAnsi="Roboto" w:cs="Times New Roman"/>
          <w:sz w:val="20"/>
          <w:szCs w:val="20"/>
          <w:lang w:val="en-GB"/>
        </w:rPr>
        <w:t>COP4 (p.7)</w:t>
      </w:r>
      <w:r w:rsidR="00115190">
        <w:rPr>
          <w:rFonts w:ascii="Roboto" w:hAnsi="Roboto" w:cs="Times New Roman"/>
          <w:sz w:val="20"/>
          <w:szCs w:val="20"/>
          <w:lang w:val="en-GB"/>
        </w:rPr>
        <w:t xml:space="preserve">, </w:t>
      </w:r>
      <w:r w:rsidR="004624BF" w:rsidRPr="00115190">
        <w:rPr>
          <w:rFonts w:ascii="Roboto" w:hAnsi="Roboto" w:cs="Times New Roman"/>
          <w:sz w:val="20"/>
          <w:szCs w:val="20"/>
          <w:lang w:val="en-GB"/>
        </w:rPr>
        <w:t>COP5 (p.5)</w:t>
      </w:r>
      <w:r w:rsidR="00115190">
        <w:rPr>
          <w:rFonts w:ascii="Roboto" w:hAnsi="Roboto" w:cs="Times New Roman"/>
          <w:sz w:val="20"/>
          <w:szCs w:val="20"/>
          <w:lang w:val="en-GB"/>
        </w:rPr>
        <w:t xml:space="preserve">, </w:t>
      </w:r>
      <w:r w:rsidR="004624BF" w:rsidRPr="00115190">
        <w:rPr>
          <w:rFonts w:ascii="Roboto" w:hAnsi="Roboto" w:cs="Times New Roman"/>
          <w:sz w:val="20"/>
          <w:szCs w:val="20"/>
          <w:lang w:val="en-GB"/>
        </w:rPr>
        <w:t>ECOP (p.1)</w:t>
      </w:r>
      <w:r w:rsidR="00115190">
        <w:rPr>
          <w:rFonts w:ascii="Roboto" w:hAnsi="Roboto" w:cs="Times New Roman"/>
          <w:sz w:val="20"/>
          <w:szCs w:val="20"/>
          <w:lang w:val="en-GB"/>
        </w:rPr>
        <w:t xml:space="preserve"> within the timeframe of </w:t>
      </w:r>
      <w:r w:rsidR="00115190" w:rsidRPr="00115190">
        <w:rPr>
          <w:rFonts w:ascii="Roboto" w:hAnsi="Roboto" w:cs="Times New Roman"/>
          <w:sz w:val="20"/>
          <w:szCs w:val="20"/>
          <w:lang w:val="en-GB"/>
        </w:rPr>
        <w:t>Jan. 202</w:t>
      </w:r>
      <w:r w:rsidR="004B787E">
        <w:rPr>
          <w:rFonts w:ascii="Roboto" w:hAnsi="Roboto" w:cs="Times New Roman"/>
          <w:sz w:val="20"/>
          <w:szCs w:val="20"/>
          <w:lang w:val="en-GB"/>
        </w:rPr>
        <w:t>3</w:t>
      </w:r>
      <w:r w:rsidR="00115190" w:rsidRPr="00115190">
        <w:rPr>
          <w:rFonts w:ascii="Roboto" w:hAnsi="Roboto" w:cs="Times New Roman"/>
          <w:sz w:val="20"/>
          <w:szCs w:val="20"/>
          <w:lang w:val="en-GB"/>
        </w:rPr>
        <w:t>- Dec. 202</w:t>
      </w:r>
      <w:r w:rsidR="004B787E">
        <w:rPr>
          <w:rFonts w:ascii="Roboto" w:hAnsi="Roboto" w:cs="Times New Roman"/>
          <w:sz w:val="20"/>
          <w:szCs w:val="20"/>
          <w:lang w:val="en-GB"/>
        </w:rPr>
        <w:t>4</w:t>
      </w:r>
      <w:r w:rsidR="00115190">
        <w:rPr>
          <w:rFonts w:ascii="Roboto" w:hAnsi="Roboto" w:cs="Times New Roman"/>
          <w:sz w:val="20"/>
          <w:szCs w:val="20"/>
          <w:lang w:val="en-GB"/>
        </w:rPr>
        <w:t>;</w:t>
      </w:r>
    </w:p>
    <w:p w14:paraId="6DD791C4" w14:textId="77777777" w:rsidR="00511947" w:rsidRPr="00A017C2" w:rsidRDefault="0045523B" w:rsidP="001D55E0">
      <w:pPr>
        <w:rPr>
          <w:rFonts w:ascii="Roboto" w:hAnsi="Roboto" w:cs="Times New Roman"/>
          <w:b/>
          <w:sz w:val="20"/>
          <w:szCs w:val="20"/>
          <w:lang w:val="en-GB"/>
        </w:rPr>
      </w:pPr>
      <w:r w:rsidRPr="00A017C2">
        <w:rPr>
          <w:rFonts w:ascii="Roboto" w:hAnsi="Roboto" w:cs="Times New Roman"/>
          <w:b/>
          <w:sz w:val="20"/>
          <w:szCs w:val="20"/>
          <w:lang w:val="en-GB"/>
        </w:rPr>
        <w:t>Priority Areas of Implementation</w:t>
      </w:r>
    </w:p>
    <w:p w14:paraId="01FFF615" w14:textId="035F3E79" w:rsidR="00DA516C" w:rsidRDefault="00DE58BF" w:rsidP="00B90EB1">
      <w:pPr>
        <w:rPr>
          <w:rFonts w:ascii="Roboto" w:hAnsi="Roboto" w:cs="Times New Roman"/>
          <w:sz w:val="20"/>
          <w:szCs w:val="20"/>
          <w:lang w:val="en-GB"/>
        </w:rPr>
      </w:pPr>
      <w:r>
        <w:rPr>
          <w:rFonts w:ascii="Roboto" w:hAnsi="Roboto" w:cs="Times New Roman"/>
          <w:sz w:val="20"/>
          <w:szCs w:val="20"/>
          <w:lang w:val="en-GB"/>
        </w:rPr>
        <w:t>Given the soon entry into force of these protocols,</w:t>
      </w:r>
      <w:r w:rsidR="00511947">
        <w:rPr>
          <w:rFonts w:ascii="Roboto" w:hAnsi="Roboto" w:cs="Times New Roman"/>
          <w:sz w:val="20"/>
          <w:szCs w:val="20"/>
          <w:lang w:val="en-GB"/>
        </w:rPr>
        <w:t xml:space="preserve"> priority areas for implementation of th</w:t>
      </w:r>
      <w:r w:rsidR="00867600">
        <w:rPr>
          <w:rFonts w:ascii="Roboto" w:hAnsi="Roboto" w:cs="Times New Roman"/>
          <w:sz w:val="20"/>
          <w:szCs w:val="20"/>
          <w:lang w:val="en-GB"/>
        </w:rPr>
        <w:t xml:space="preserve">e protocols </w:t>
      </w:r>
      <w:r w:rsidR="00C6256D">
        <w:rPr>
          <w:rFonts w:ascii="Roboto" w:hAnsi="Roboto" w:cs="Times New Roman"/>
          <w:sz w:val="20"/>
          <w:szCs w:val="20"/>
          <w:lang w:val="en-GB"/>
        </w:rPr>
        <w:t>have been defined</w:t>
      </w:r>
      <w:r w:rsidR="009571F9">
        <w:rPr>
          <w:rFonts w:ascii="Roboto" w:hAnsi="Roboto" w:cs="Times New Roman"/>
          <w:sz w:val="20"/>
          <w:szCs w:val="20"/>
          <w:lang w:val="en-GB"/>
        </w:rPr>
        <w:t>.</w:t>
      </w:r>
    </w:p>
    <w:p w14:paraId="53902A11" w14:textId="77777777" w:rsidR="00F81F0A" w:rsidRPr="00A017C2" w:rsidRDefault="00F81F0A" w:rsidP="00D65CBC">
      <w:pPr>
        <w:pStyle w:val="ListParagraph"/>
        <w:numPr>
          <w:ilvl w:val="0"/>
          <w:numId w:val="16"/>
        </w:numPr>
        <w:rPr>
          <w:rFonts w:ascii="Roboto" w:hAnsi="Roboto" w:cs="Times New Roman"/>
          <w:b/>
          <w:sz w:val="20"/>
          <w:szCs w:val="20"/>
          <w:lang w:val="en-GB"/>
        </w:rPr>
      </w:pPr>
      <w:r w:rsidRPr="00A017C2">
        <w:rPr>
          <w:rFonts w:ascii="Roboto" w:hAnsi="Roboto" w:cs="Times New Roman"/>
          <w:b/>
          <w:sz w:val="20"/>
          <w:szCs w:val="20"/>
          <w:lang w:val="en-GB"/>
        </w:rPr>
        <w:t>Priority Areas of Implementation of the Protocol for the Protection of the Caspian Sea against Pollution from Land-b</w:t>
      </w:r>
      <w:r w:rsidR="00352B14" w:rsidRPr="00A017C2">
        <w:rPr>
          <w:rFonts w:ascii="Roboto" w:hAnsi="Roboto" w:cs="Times New Roman"/>
          <w:b/>
          <w:sz w:val="20"/>
          <w:szCs w:val="20"/>
          <w:lang w:val="en-GB"/>
        </w:rPr>
        <w:t>ased Sources and Activities (Moscow</w:t>
      </w:r>
      <w:r w:rsidRPr="00A017C2">
        <w:rPr>
          <w:rFonts w:ascii="Roboto" w:hAnsi="Roboto" w:cs="Times New Roman"/>
          <w:b/>
          <w:sz w:val="20"/>
          <w:szCs w:val="20"/>
          <w:lang w:val="en-GB"/>
        </w:rPr>
        <w:t xml:space="preserve"> Protocol)</w:t>
      </w:r>
    </w:p>
    <w:p w14:paraId="5CAAAEFC" w14:textId="77777777" w:rsidR="00F81F0A" w:rsidRPr="00F81F0A" w:rsidRDefault="00F81F0A" w:rsidP="00F81F0A">
      <w:pPr>
        <w:rPr>
          <w:rFonts w:ascii="Roboto" w:hAnsi="Roboto" w:cs="Times New Roman"/>
          <w:sz w:val="20"/>
          <w:szCs w:val="20"/>
          <w:lang w:val="en-GB"/>
        </w:rPr>
      </w:pPr>
      <w:r w:rsidRPr="00F81F0A">
        <w:rPr>
          <w:rFonts w:ascii="Roboto" w:hAnsi="Roboto" w:cs="Times New Roman"/>
          <w:sz w:val="20"/>
          <w:szCs w:val="20"/>
          <w:lang w:val="en-GB"/>
        </w:rPr>
        <w:t>Pending the entr</w:t>
      </w:r>
      <w:r w:rsidR="00DD770C">
        <w:rPr>
          <w:rFonts w:ascii="Roboto" w:hAnsi="Roboto" w:cs="Times New Roman"/>
          <w:sz w:val="20"/>
          <w:szCs w:val="20"/>
          <w:lang w:val="en-GB"/>
        </w:rPr>
        <w:t>y into force of the Moscow</w:t>
      </w:r>
      <w:r w:rsidRPr="00F81F0A">
        <w:rPr>
          <w:rFonts w:ascii="Roboto" w:hAnsi="Roboto" w:cs="Times New Roman"/>
          <w:sz w:val="20"/>
          <w:szCs w:val="20"/>
          <w:lang w:val="en-GB"/>
        </w:rPr>
        <w:t xml:space="preserve"> Protocol the following priorities for its implementation have been identified:</w:t>
      </w:r>
    </w:p>
    <w:p w14:paraId="1B07DE1A" w14:textId="77777777" w:rsidR="00F81F0A" w:rsidRPr="00F81F0A" w:rsidRDefault="00F81F0A" w:rsidP="00F81F0A">
      <w:pPr>
        <w:numPr>
          <w:ilvl w:val="0"/>
          <w:numId w:val="3"/>
        </w:numPr>
        <w:rPr>
          <w:rFonts w:ascii="Roboto" w:hAnsi="Roboto" w:cs="Times New Roman"/>
          <w:sz w:val="20"/>
          <w:szCs w:val="20"/>
          <w:lang w:val="en-GB"/>
        </w:rPr>
      </w:pPr>
      <w:r w:rsidRPr="00F81F0A">
        <w:rPr>
          <w:rFonts w:ascii="Roboto" w:hAnsi="Roboto" w:cs="Times New Roman"/>
          <w:sz w:val="20"/>
          <w:szCs w:val="20"/>
          <w:lang w:val="en-GB"/>
        </w:rPr>
        <w:t>Designation of competent national authorities (Art. 5.1)</w:t>
      </w:r>
    </w:p>
    <w:p w14:paraId="17E05C25" w14:textId="77777777" w:rsidR="00F81F0A" w:rsidRPr="00F81F0A" w:rsidRDefault="00F81F0A" w:rsidP="00F81F0A">
      <w:pPr>
        <w:numPr>
          <w:ilvl w:val="0"/>
          <w:numId w:val="3"/>
        </w:numPr>
        <w:rPr>
          <w:rFonts w:ascii="Roboto" w:hAnsi="Roboto" w:cs="Times New Roman"/>
          <w:sz w:val="20"/>
          <w:szCs w:val="20"/>
          <w:lang w:val="en-GB"/>
        </w:rPr>
      </w:pPr>
      <w:r w:rsidRPr="00F81F0A">
        <w:rPr>
          <w:rFonts w:ascii="Roboto" w:hAnsi="Roboto" w:cs="Times New Roman"/>
          <w:sz w:val="20"/>
          <w:szCs w:val="20"/>
          <w:lang w:val="en-GB"/>
        </w:rPr>
        <w:t>System and arrangements for LBS related monitoring and assessment (Art. 13)</w:t>
      </w:r>
    </w:p>
    <w:p w14:paraId="153BC2F9" w14:textId="77777777" w:rsidR="00F81F0A" w:rsidRPr="00F81F0A" w:rsidRDefault="00F81F0A" w:rsidP="00F81F0A">
      <w:pPr>
        <w:numPr>
          <w:ilvl w:val="0"/>
          <w:numId w:val="3"/>
        </w:numPr>
        <w:rPr>
          <w:rFonts w:ascii="Roboto" w:hAnsi="Roboto" w:cs="Times New Roman"/>
          <w:sz w:val="20"/>
          <w:szCs w:val="20"/>
          <w:lang w:val="en-GB"/>
        </w:rPr>
      </w:pPr>
      <w:r w:rsidRPr="00F81F0A">
        <w:rPr>
          <w:rFonts w:ascii="Roboto" w:hAnsi="Roboto" w:cs="Times New Roman"/>
          <w:sz w:val="20"/>
          <w:szCs w:val="20"/>
          <w:lang w:val="en-GB"/>
        </w:rPr>
        <w:t>Review and adaptation of national ICZM related enabling legislation</w:t>
      </w:r>
    </w:p>
    <w:p w14:paraId="30B38188" w14:textId="77777777" w:rsidR="00F81F0A" w:rsidRPr="00F81F0A" w:rsidRDefault="00F81F0A" w:rsidP="00F81F0A">
      <w:pPr>
        <w:numPr>
          <w:ilvl w:val="0"/>
          <w:numId w:val="3"/>
        </w:numPr>
        <w:rPr>
          <w:rFonts w:ascii="Roboto" w:hAnsi="Roboto" w:cs="Times New Roman"/>
          <w:sz w:val="20"/>
          <w:szCs w:val="20"/>
          <w:lang w:val="en-GB"/>
        </w:rPr>
      </w:pPr>
      <w:r w:rsidRPr="00F81F0A">
        <w:rPr>
          <w:rFonts w:ascii="Roboto" w:hAnsi="Roboto" w:cs="Times New Roman"/>
          <w:sz w:val="20"/>
          <w:szCs w:val="20"/>
          <w:lang w:val="en-GB"/>
        </w:rPr>
        <w:t>Development of Caspian guidelines on an integrated approach to the development of coastal areas</w:t>
      </w:r>
    </w:p>
    <w:p w14:paraId="717D0549" w14:textId="77777777" w:rsidR="00F81F0A" w:rsidRPr="00F81F0A" w:rsidRDefault="00F81F0A" w:rsidP="00F81F0A">
      <w:pPr>
        <w:numPr>
          <w:ilvl w:val="0"/>
          <w:numId w:val="3"/>
        </w:numPr>
        <w:rPr>
          <w:rFonts w:ascii="Roboto" w:hAnsi="Roboto" w:cs="Times New Roman"/>
          <w:sz w:val="20"/>
          <w:szCs w:val="20"/>
          <w:lang w:val="en-GB"/>
        </w:rPr>
      </w:pPr>
      <w:r w:rsidRPr="00F81F0A">
        <w:rPr>
          <w:rFonts w:ascii="Roboto" w:hAnsi="Roboto" w:cs="Times New Roman"/>
          <w:sz w:val="20"/>
          <w:szCs w:val="20"/>
          <w:lang w:val="en-GB"/>
        </w:rPr>
        <w:t>Effective integration of the circular economy approach into the management of land-based sources of pollution (ICZM)</w:t>
      </w:r>
    </w:p>
    <w:p w14:paraId="6440BB47" w14:textId="77777777" w:rsidR="00F81F0A" w:rsidRPr="00F81F0A" w:rsidRDefault="00F81F0A" w:rsidP="00F81F0A">
      <w:pPr>
        <w:numPr>
          <w:ilvl w:val="0"/>
          <w:numId w:val="3"/>
        </w:numPr>
        <w:rPr>
          <w:rFonts w:ascii="Roboto" w:hAnsi="Roboto" w:cs="Times New Roman"/>
          <w:sz w:val="20"/>
          <w:szCs w:val="20"/>
          <w:lang w:val="en-GB"/>
        </w:rPr>
      </w:pPr>
      <w:r w:rsidRPr="00F81F0A">
        <w:rPr>
          <w:rFonts w:ascii="Roboto" w:hAnsi="Roboto" w:cs="Times New Roman"/>
          <w:sz w:val="20"/>
          <w:szCs w:val="20"/>
          <w:lang w:val="en-GB"/>
        </w:rPr>
        <w:t>Regional training workshops and exchange of information on ins and outs of an integrated approach to coastal area development (Art. 10)</w:t>
      </w:r>
    </w:p>
    <w:p w14:paraId="225D7314" w14:textId="77777777" w:rsidR="00F81F0A" w:rsidRPr="00F81F0A" w:rsidRDefault="00F81F0A" w:rsidP="00F81F0A">
      <w:pPr>
        <w:numPr>
          <w:ilvl w:val="0"/>
          <w:numId w:val="3"/>
        </w:numPr>
        <w:rPr>
          <w:rFonts w:ascii="Roboto" w:hAnsi="Roboto" w:cs="Times New Roman"/>
          <w:sz w:val="20"/>
          <w:szCs w:val="20"/>
          <w:lang w:val="en-GB"/>
        </w:rPr>
      </w:pPr>
      <w:r w:rsidRPr="00F81F0A">
        <w:rPr>
          <w:rFonts w:ascii="Roboto" w:hAnsi="Roboto" w:cs="Times New Roman"/>
          <w:sz w:val="20"/>
          <w:szCs w:val="20"/>
          <w:lang w:val="en-GB"/>
        </w:rPr>
        <w:t>Inventories of land-based sources of pollution (point sources; diffuse sources; pollution from other activities) along Annex 1 categories, and establishment of list(s) of hotspots (Art. 7)</w:t>
      </w:r>
    </w:p>
    <w:p w14:paraId="76148966" w14:textId="77777777" w:rsidR="00F81F0A" w:rsidRPr="00F81F0A" w:rsidRDefault="00F81F0A" w:rsidP="00F81F0A">
      <w:pPr>
        <w:numPr>
          <w:ilvl w:val="0"/>
          <w:numId w:val="3"/>
        </w:numPr>
        <w:rPr>
          <w:rFonts w:ascii="Roboto" w:hAnsi="Roboto" w:cs="Times New Roman"/>
          <w:sz w:val="20"/>
          <w:szCs w:val="20"/>
          <w:lang w:val="en-GB"/>
        </w:rPr>
      </w:pPr>
      <w:r w:rsidRPr="00F81F0A">
        <w:rPr>
          <w:rFonts w:ascii="Roboto" w:hAnsi="Roboto" w:cs="Times New Roman"/>
          <w:sz w:val="20"/>
          <w:szCs w:val="20"/>
          <w:lang w:val="en-GB"/>
        </w:rPr>
        <w:t>Training and information exchange workshops on how to address land-based sources of pollution</w:t>
      </w:r>
    </w:p>
    <w:p w14:paraId="0CE804AB" w14:textId="77777777" w:rsidR="00F81F0A" w:rsidRPr="00F81F0A" w:rsidRDefault="00F81F0A" w:rsidP="00F81F0A">
      <w:pPr>
        <w:numPr>
          <w:ilvl w:val="0"/>
          <w:numId w:val="3"/>
        </w:numPr>
        <w:rPr>
          <w:rFonts w:ascii="Roboto" w:hAnsi="Roboto" w:cs="Times New Roman"/>
          <w:sz w:val="20"/>
          <w:szCs w:val="20"/>
          <w:lang w:val="en-GB"/>
        </w:rPr>
      </w:pPr>
      <w:r w:rsidRPr="00F81F0A">
        <w:rPr>
          <w:rFonts w:ascii="Roboto" w:hAnsi="Roboto" w:cs="Times New Roman"/>
          <w:sz w:val="20"/>
          <w:szCs w:val="20"/>
          <w:lang w:val="en-GB"/>
        </w:rPr>
        <w:t>Development and agreement on common emission limit values as well as on common guidelines and standards relating to the issues identified in Art. 6 (Arts. 5, 6)</w:t>
      </w:r>
    </w:p>
    <w:p w14:paraId="3C07DC47" w14:textId="77777777" w:rsidR="00F81F0A" w:rsidRPr="00F81F0A" w:rsidRDefault="00F81F0A" w:rsidP="00F81F0A">
      <w:pPr>
        <w:numPr>
          <w:ilvl w:val="0"/>
          <w:numId w:val="3"/>
        </w:numPr>
        <w:rPr>
          <w:rFonts w:ascii="Roboto" w:hAnsi="Roboto" w:cs="Times New Roman"/>
          <w:sz w:val="20"/>
          <w:szCs w:val="20"/>
          <w:lang w:val="en-GB"/>
        </w:rPr>
      </w:pPr>
      <w:r w:rsidRPr="00F81F0A">
        <w:rPr>
          <w:rFonts w:ascii="Roboto" w:hAnsi="Roboto" w:cs="Times New Roman"/>
          <w:sz w:val="20"/>
          <w:szCs w:val="20"/>
          <w:lang w:val="en-GB"/>
        </w:rPr>
        <w:t>Training workshops followed by development of pollution source control plans, costing and time tables (Arts. 2, 5, Annex V)</w:t>
      </w:r>
    </w:p>
    <w:p w14:paraId="149A6690" w14:textId="77777777" w:rsidR="00F81F0A" w:rsidRPr="00F81F0A" w:rsidRDefault="00F81F0A" w:rsidP="00F81F0A">
      <w:pPr>
        <w:numPr>
          <w:ilvl w:val="0"/>
          <w:numId w:val="3"/>
        </w:numPr>
        <w:rPr>
          <w:rFonts w:ascii="Roboto" w:hAnsi="Roboto" w:cs="Times New Roman"/>
          <w:sz w:val="20"/>
          <w:szCs w:val="20"/>
          <w:lang w:val="en-GB"/>
        </w:rPr>
      </w:pPr>
      <w:r w:rsidRPr="00F81F0A">
        <w:rPr>
          <w:rFonts w:ascii="Roboto" w:hAnsi="Roboto" w:cs="Times New Roman"/>
          <w:sz w:val="20"/>
          <w:szCs w:val="20"/>
          <w:lang w:val="en-GB"/>
        </w:rPr>
        <w:t>Analysis, case law demonstration and development of guidelines for EIA related to potential environmental impacts, including transboundary impacts of land-based activities (Arts. 11, 12)</w:t>
      </w:r>
    </w:p>
    <w:p w14:paraId="025D62D4" w14:textId="77777777" w:rsidR="00F81F0A" w:rsidRPr="00F81F0A" w:rsidRDefault="00F81F0A" w:rsidP="00F81F0A">
      <w:pPr>
        <w:numPr>
          <w:ilvl w:val="0"/>
          <w:numId w:val="3"/>
        </w:numPr>
        <w:rPr>
          <w:rFonts w:ascii="Roboto" w:hAnsi="Roboto" w:cs="Times New Roman"/>
          <w:sz w:val="20"/>
          <w:szCs w:val="20"/>
          <w:lang w:val="en-GB"/>
        </w:rPr>
      </w:pPr>
      <w:r w:rsidRPr="00F81F0A">
        <w:rPr>
          <w:rFonts w:ascii="Roboto" w:hAnsi="Roboto" w:cs="Times New Roman"/>
          <w:sz w:val="20"/>
          <w:szCs w:val="20"/>
          <w:lang w:val="en-GB"/>
        </w:rPr>
        <w:t>Development and agreement on reporting and compliance procedures (Arts. 17, 18)</w:t>
      </w:r>
    </w:p>
    <w:p w14:paraId="53A5218D" w14:textId="77777777" w:rsidR="00F81F0A" w:rsidRPr="00F81F0A" w:rsidRDefault="00F81F0A" w:rsidP="00F81F0A">
      <w:pPr>
        <w:numPr>
          <w:ilvl w:val="0"/>
          <w:numId w:val="3"/>
        </w:numPr>
        <w:rPr>
          <w:rFonts w:ascii="Roboto" w:hAnsi="Roboto" w:cs="Times New Roman"/>
          <w:sz w:val="20"/>
          <w:szCs w:val="20"/>
        </w:rPr>
      </w:pPr>
      <w:r w:rsidRPr="00F81F0A">
        <w:rPr>
          <w:rFonts w:ascii="Roboto" w:hAnsi="Roboto" w:cs="Times New Roman"/>
          <w:sz w:val="20"/>
          <w:szCs w:val="20"/>
        </w:rPr>
        <w:t>Drafting of regional and/or national Programme of Action (NPA) based on pollution source control including measures and timetables for their implementation and complementary regional workshops for information exchange;</w:t>
      </w:r>
    </w:p>
    <w:p w14:paraId="01050375" w14:textId="77777777" w:rsidR="00F81F0A" w:rsidRDefault="00F81F0A" w:rsidP="00F81F0A">
      <w:pPr>
        <w:numPr>
          <w:ilvl w:val="0"/>
          <w:numId w:val="3"/>
        </w:numPr>
        <w:rPr>
          <w:rFonts w:ascii="Roboto" w:hAnsi="Roboto" w:cs="Times New Roman"/>
          <w:sz w:val="20"/>
          <w:szCs w:val="20"/>
        </w:rPr>
      </w:pPr>
      <w:r w:rsidRPr="00F81F0A">
        <w:rPr>
          <w:rFonts w:ascii="Roboto" w:hAnsi="Roboto" w:cs="Times New Roman"/>
          <w:sz w:val="20"/>
          <w:szCs w:val="20"/>
        </w:rPr>
        <w:t>Development of a collection of the Best Available Techniques and Best Environmental Practice to ensure access to and transfer of environmentally sound technology, including cleaner production, taking into account the social, economic and technological conditions and criteria set forth in Annex V.</w:t>
      </w:r>
    </w:p>
    <w:p w14:paraId="26033AA2" w14:textId="77777777" w:rsidR="00B05E29" w:rsidRDefault="00B05E29" w:rsidP="001D55E0">
      <w:pPr>
        <w:rPr>
          <w:rFonts w:ascii="Roboto" w:hAnsi="Roboto" w:cs="Times New Roman"/>
          <w:sz w:val="20"/>
          <w:szCs w:val="20"/>
          <w:lang w:val="en-GB"/>
        </w:rPr>
      </w:pPr>
    </w:p>
    <w:p w14:paraId="64ED1E4F" w14:textId="77777777" w:rsidR="00D65CBC" w:rsidRPr="00CD6919" w:rsidRDefault="00D65CBC" w:rsidP="00D65CBC">
      <w:pPr>
        <w:pStyle w:val="ListParagraph"/>
        <w:numPr>
          <w:ilvl w:val="0"/>
          <w:numId w:val="16"/>
        </w:numPr>
        <w:rPr>
          <w:rFonts w:ascii="Roboto" w:hAnsi="Roboto" w:cs="Times New Roman"/>
          <w:b/>
          <w:sz w:val="20"/>
          <w:szCs w:val="20"/>
          <w:lang w:val="en-GB"/>
        </w:rPr>
      </w:pPr>
      <w:r w:rsidRPr="00CD6919">
        <w:rPr>
          <w:rFonts w:ascii="Roboto" w:hAnsi="Roboto" w:cs="Times New Roman"/>
          <w:b/>
          <w:sz w:val="20"/>
          <w:szCs w:val="20"/>
          <w:lang w:val="en-GB"/>
        </w:rPr>
        <w:lastRenderedPageBreak/>
        <w:t>Priority Areas of Implementation of the Protocol on the Conservation of Biological Diversity (</w:t>
      </w:r>
      <w:r w:rsidR="006E4162" w:rsidRPr="00CD6919">
        <w:rPr>
          <w:rFonts w:ascii="Roboto" w:hAnsi="Roboto" w:cs="Times New Roman"/>
          <w:b/>
          <w:sz w:val="20"/>
          <w:szCs w:val="20"/>
          <w:lang w:val="en-GB"/>
        </w:rPr>
        <w:t>Ahgabat</w:t>
      </w:r>
      <w:r w:rsidRPr="00CD6919">
        <w:rPr>
          <w:rFonts w:ascii="Roboto" w:hAnsi="Roboto" w:cs="Times New Roman"/>
          <w:b/>
          <w:sz w:val="20"/>
          <w:szCs w:val="20"/>
          <w:lang w:val="en-GB"/>
        </w:rPr>
        <w:t xml:space="preserve"> Protocol)</w:t>
      </w:r>
    </w:p>
    <w:p w14:paraId="77B0A525" w14:textId="77777777" w:rsidR="00D65CBC" w:rsidRPr="00D65CBC" w:rsidRDefault="00D65CBC" w:rsidP="00D65CBC">
      <w:pPr>
        <w:rPr>
          <w:rFonts w:ascii="Roboto" w:hAnsi="Roboto" w:cs="Times New Roman"/>
          <w:sz w:val="20"/>
          <w:szCs w:val="20"/>
          <w:lang w:val="en-GB"/>
        </w:rPr>
      </w:pPr>
      <w:r w:rsidRPr="00D65CBC">
        <w:rPr>
          <w:rFonts w:ascii="Roboto" w:hAnsi="Roboto" w:cs="Times New Roman"/>
          <w:sz w:val="20"/>
          <w:szCs w:val="20"/>
          <w:lang w:val="en-GB"/>
        </w:rPr>
        <w:t>At a regional workshop in Baku, Azerbaijan, 24 – 29 April 2017, organized jointly with the Convention on Biological Diversity and the Commission on the Protection of the Black Sea, a list of ecologically or biologically significant marine areas in the Caspian Sea was put together.</w:t>
      </w:r>
    </w:p>
    <w:p w14:paraId="4EBC8496" w14:textId="77777777" w:rsidR="00D65CBC" w:rsidRPr="00D65CBC" w:rsidRDefault="00D65CBC" w:rsidP="00D65CBC">
      <w:pPr>
        <w:rPr>
          <w:rFonts w:ascii="Roboto" w:hAnsi="Roboto" w:cs="Times New Roman"/>
          <w:sz w:val="20"/>
          <w:szCs w:val="20"/>
          <w:lang w:val="en-GB"/>
        </w:rPr>
      </w:pPr>
      <w:r w:rsidRPr="00D65CBC">
        <w:rPr>
          <w:rFonts w:ascii="Roboto" w:hAnsi="Roboto" w:cs="Times New Roman"/>
          <w:sz w:val="20"/>
          <w:szCs w:val="20"/>
          <w:lang w:val="en-GB"/>
        </w:rPr>
        <w:t>Pending the ent</w:t>
      </w:r>
      <w:r w:rsidR="00713C68">
        <w:rPr>
          <w:rFonts w:ascii="Roboto" w:hAnsi="Roboto" w:cs="Times New Roman"/>
          <w:sz w:val="20"/>
          <w:szCs w:val="20"/>
          <w:lang w:val="en-GB"/>
        </w:rPr>
        <w:t>ry into force of the Ashgabat</w:t>
      </w:r>
      <w:r w:rsidRPr="00D65CBC">
        <w:rPr>
          <w:rFonts w:ascii="Roboto" w:hAnsi="Roboto" w:cs="Times New Roman"/>
          <w:sz w:val="20"/>
          <w:szCs w:val="20"/>
          <w:lang w:val="en-GB"/>
        </w:rPr>
        <w:t xml:space="preserve"> Protocol the following priorities for its implementation have been identified:</w:t>
      </w:r>
    </w:p>
    <w:p w14:paraId="313749FB" w14:textId="77777777" w:rsidR="00D65CBC" w:rsidRPr="00D65CBC" w:rsidRDefault="00D65CBC" w:rsidP="00D65CBC">
      <w:pPr>
        <w:numPr>
          <w:ilvl w:val="0"/>
          <w:numId w:val="2"/>
        </w:numPr>
        <w:rPr>
          <w:rFonts w:ascii="Roboto" w:hAnsi="Roboto" w:cs="Times New Roman"/>
          <w:sz w:val="20"/>
          <w:szCs w:val="20"/>
          <w:lang w:val="en-GB"/>
        </w:rPr>
      </w:pPr>
      <w:r w:rsidRPr="00D65CBC">
        <w:rPr>
          <w:rFonts w:ascii="Roboto" w:hAnsi="Roboto" w:cs="Times New Roman"/>
          <w:sz w:val="20"/>
          <w:szCs w:val="20"/>
          <w:lang w:val="en-GB"/>
        </w:rPr>
        <w:t>System and arrangements for biodiversity monito</w:t>
      </w:r>
      <w:r w:rsidR="008041C7">
        <w:rPr>
          <w:rFonts w:ascii="Roboto" w:hAnsi="Roboto" w:cs="Times New Roman"/>
          <w:sz w:val="20"/>
          <w:szCs w:val="20"/>
          <w:lang w:val="en-GB"/>
        </w:rPr>
        <w:t>ring and assessment (Arts. 5(f)</w:t>
      </w:r>
      <w:r w:rsidRPr="00D65CBC">
        <w:rPr>
          <w:rFonts w:ascii="Roboto" w:hAnsi="Roboto" w:cs="Times New Roman"/>
          <w:sz w:val="20"/>
          <w:szCs w:val="20"/>
          <w:lang w:val="en-GB"/>
        </w:rPr>
        <w:t>, 6(g))</w:t>
      </w:r>
    </w:p>
    <w:p w14:paraId="311DF3B5" w14:textId="77777777" w:rsidR="00D65CBC" w:rsidRPr="00D65CBC" w:rsidRDefault="00D65CBC" w:rsidP="00D65CBC">
      <w:pPr>
        <w:numPr>
          <w:ilvl w:val="0"/>
          <w:numId w:val="2"/>
        </w:numPr>
        <w:rPr>
          <w:rFonts w:ascii="Roboto" w:hAnsi="Roboto" w:cs="Times New Roman"/>
          <w:sz w:val="20"/>
          <w:szCs w:val="20"/>
          <w:lang w:val="en-GB"/>
        </w:rPr>
      </w:pPr>
      <w:r w:rsidRPr="00D65CBC">
        <w:rPr>
          <w:rFonts w:ascii="Roboto" w:hAnsi="Roboto" w:cs="Times New Roman"/>
          <w:sz w:val="20"/>
          <w:szCs w:val="20"/>
          <w:lang w:val="en-GB"/>
        </w:rPr>
        <w:t>Development of a regional Reference List of Marine and Coastal Habitat Types of the Caspian Sea (Art. 5(d, g))</w:t>
      </w:r>
    </w:p>
    <w:p w14:paraId="651B3234" w14:textId="77777777" w:rsidR="00D65CBC" w:rsidRPr="00D65CBC" w:rsidRDefault="00D65CBC" w:rsidP="00D65CBC">
      <w:pPr>
        <w:numPr>
          <w:ilvl w:val="0"/>
          <w:numId w:val="2"/>
        </w:numPr>
        <w:rPr>
          <w:rFonts w:ascii="Roboto" w:hAnsi="Roboto" w:cs="Times New Roman"/>
          <w:sz w:val="20"/>
          <w:szCs w:val="20"/>
          <w:lang w:val="en-GB"/>
        </w:rPr>
      </w:pPr>
      <w:r w:rsidRPr="00D65CBC">
        <w:rPr>
          <w:rFonts w:ascii="Roboto" w:hAnsi="Roboto" w:cs="Times New Roman"/>
          <w:sz w:val="20"/>
          <w:szCs w:val="20"/>
          <w:lang w:val="en-GB"/>
        </w:rPr>
        <w:t>Caspian Sea regional and national assessments of vulnerability to and impacts of climate change on marine and coastal biodiversity and natural resources (Arts. 5(a,c,d,e,f,j), 6(g,j))</w:t>
      </w:r>
    </w:p>
    <w:p w14:paraId="5F61F1B8" w14:textId="77777777" w:rsidR="00D65CBC" w:rsidRPr="00D65CBC" w:rsidRDefault="00D65CBC" w:rsidP="00D65CBC">
      <w:pPr>
        <w:numPr>
          <w:ilvl w:val="0"/>
          <w:numId w:val="2"/>
        </w:numPr>
        <w:rPr>
          <w:rFonts w:ascii="Roboto" w:hAnsi="Roboto" w:cs="Times New Roman"/>
          <w:sz w:val="20"/>
          <w:szCs w:val="20"/>
          <w:lang w:val="en-GB"/>
        </w:rPr>
      </w:pPr>
      <w:r w:rsidRPr="00D65CBC">
        <w:rPr>
          <w:rFonts w:ascii="Roboto" w:hAnsi="Roboto" w:cs="Times New Roman"/>
          <w:sz w:val="20"/>
          <w:szCs w:val="20"/>
          <w:lang w:val="en-GB"/>
        </w:rPr>
        <w:t>Review and adaptation of enabling national legislation (Art. 4)</w:t>
      </w:r>
    </w:p>
    <w:p w14:paraId="4B831136" w14:textId="77777777" w:rsidR="00D65CBC" w:rsidRPr="00D65CBC" w:rsidRDefault="00D65CBC" w:rsidP="00D65CBC">
      <w:pPr>
        <w:numPr>
          <w:ilvl w:val="0"/>
          <w:numId w:val="2"/>
        </w:numPr>
        <w:rPr>
          <w:rFonts w:ascii="Roboto" w:hAnsi="Roboto" w:cs="Times New Roman"/>
          <w:sz w:val="20"/>
          <w:szCs w:val="20"/>
          <w:lang w:val="en-GB"/>
        </w:rPr>
      </w:pPr>
      <w:r w:rsidRPr="00D65CBC">
        <w:rPr>
          <w:rFonts w:ascii="Roboto" w:hAnsi="Roboto" w:cs="Times New Roman"/>
          <w:sz w:val="20"/>
          <w:szCs w:val="20"/>
          <w:lang w:val="en-GB"/>
        </w:rPr>
        <w:t>Capacity building and training, including exchange of information on review and harmonization of national legislation</w:t>
      </w:r>
    </w:p>
    <w:p w14:paraId="7E3817A2" w14:textId="77777777" w:rsidR="00D65CBC" w:rsidRPr="00D65CBC" w:rsidRDefault="00D65CBC" w:rsidP="00D65CBC">
      <w:pPr>
        <w:numPr>
          <w:ilvl w:val="0"/>
          <w:numId w:val="2"/>
        </w:numPr>
        <w:rPr>
          <w:rFonts w:ascii="Roboto" w:hAnsi="Roboto" w:cs="Times New Roman"/>
          <w:sz w:val="20"/>
          <w:szCs w:val="20"/>
          <w:lang w:val="en-GB"/>
        </w:rPr>
      </w:pPr>
      <w:r w:rsidRPr="00D65CBC">
        <w:rPr>
          <w:rFonts w:ascii="Roboto" w:hAnsi="Roboto" w:cs="Times New Roman"/>
          <w:sz w:val="20"/>
          <w:szCs w:val="20"/>
          <w:lang w:val="en-GB"/>
        </w:rPr>
        <w:t>Regional workshop on mainstreaming biodiversity into sectoral strategies and action plans (Art. 5(h))</w:t>
      </w:r>
    </w:p>
    <w:p w14:paraId="48EFABF2" w14:textId="77777777" w:rsidR="00D65CBC" w:rsidRPr="00D65CBC" w:rsidRDefault="00D65CBC" w:rsidP="00D65CBC">
      <w:pPr>
        <w:numPr>
          <w:ilvl w:val="0"/>
          <w:numId w:val="2"/>
        </w:numPr>
        <w:rPr>
          <w:rFonts w:ascii="Roboto" w:hAnsi="Roboto" w:cs="Times New Roman"/>
          <w:sz w:val="20"/>
          <w:szCs w:val="20"/>
          <w:lang w:val="en-GB"/>
        </w:rPr>
      </w:pPr>
      <w:r w:rsidRPr="00D65CBC">
        <w:rPr>
          <w:rFonts w:ascii="Roboto" w:hAnsi="Roboto" w:cs="Times New Roman"/>
          <w:sz w:val="20"/>
          <w:szCs w:val="20"/>
          <w:lang w:val="en-GB"/>
        </w:rPr>
        <w:t>Capacity building and training on compiling and managing national inventories of threatened species of flora and fauna (Art. 6)</w:t>
      </w:r>
    </w:p>
    <w:p w14:paraId="2DA433C3" w14:textId="77777777" w:rsidR="00D65CBC" w:rsidRPr="00D65CBC" w:rsidRDefault="00D65CBC" w:rsidP="00D65CBC">
      <w:pPr>
        <w:numPr>
          <w:ilvl w:val="0"/>
          <w:numId w:val="2"/>
        </w:numPr>
        <w:rPr>
          <w:rFonts w:ascii="Roboto" w:hAnsi="Roboto" w:cs="Times New Roman"/>
          <w:sz w:val="20"/>
          <w:szCs w:val="20"/>
          <w:lang w:val="en-GB"/>
        </w:rPr>
      </w:pPr>
      <w:r w:rsidRPr="00D65CBC">
        <w:rPr>
          <w:rFonts w:ascii="Roboto" w:hAnsi="Roboto" w:cs="Times New Roman"/>
          <w:sz w:val="20"/>
          <w:szCs w:val="20"/>
          <w:lang w:val="en-GB"/>
        </w:rPr>
        <w:t xml:space="preserve">National and regional inventories of threatened or endangered species of flora and fauna; review of their conservation status and conservation regulations </w:t>
      </w:r>
    </w:p>
    <w:p w14:paraId="0F62994F" w14:textId="77777777" w:rsidR="00D65CBC" w:rsidRPr="00D65CBC" w:rsidRDefault="00D65CBC" w:rsidP="00D65CBC">
      <w:pPr>
        <w:numPr>
          <w:ilvl w:val="0"/>
          <w:numId w:val="2"/>
        </w:numPr>
        <w:rPr>
          <w:rFonts w:ascii="Roboto" w:hAnsi="Roboto" w:cs="Times New Roman"/>
          <w:sz w:val="20"/>
          <w:szCs w:val="20"/>
          <w:lang w:val="en-GB"/>
        </w:rPr>
      </w:pPr>
      <w:r w:rsidRPr="00D65CBC">
        <w:rPr>
          <w:rFonts w:ascii="Roboto" w:hAnsi="Roboto" w:cs="Times New Roman"/>
          <w:sz w:val="20"/>
          <w:szCs w:val="20"/>
          <w:lang w:val="en-GB"/>
        </w:rPr>
        <w:t>Regional workshops to exchange information, compare national inventories and make/agree on a selection of species for a Caspian Red Book (Art. 6)</w:t>
      </w:r>
    </w:p>
    <w:p w14:paraId="54A01A87" w14:textId="77777777" w:rsidR="00D65CBC" w:rsidRPr="00D65CBC" w:rsidRDefault="00D65CBC" w:rsidP="00D65CBC">
      <w:pPr>
        <w:numPr>
          <w:ilvl w:val="0"/>
          <w:numId w:val="2"/>
        </w:numPr>
        <w:rPr>
          <w:rFonts w:ascii="Roboto" w:hAnsi="Roboto" w:cs="Times New Roman"/>
          <w:sz w:val="20"/>
          <w:szCs w:val="20"/>
          <w:lang w:val="en-GB"/>
        </w:rPr>
      </w:pPr>
      <w:r w:rsidRPr="00D65CBC">
        <w:rPr>
          <w:rFonts w:ascii="Roboto" w:hAnsi="Roboto" w:cs="Times New Roman"/>
          <w:sz w:val="20"/>
          <w:szCs w:val="20"/>
          <w:lang w:val="en-GB"/>
        </w:rPr>
        <w:t>Regional inventory and proposal for handling (potential) alien (invasive) and genetically modified species, including meeting to reach agreement on what has been proposed (Arts. 7, 8)</w:t>
      </w:r>
    </w:p>
    <w:p w14:paraId="1D269B0A" w14:textId="77777777" w:rsidR="00D65CBC" w:rsidRPr="00D65CBC" w:rsidRDefault="00D65CBC" w:rsidP="00D65CBC">
      <w:pPr>
        <w:numPr>
          <w:ilvl w:val="0"/>
          <w:numId w:val="2"/>
        </w:numPr>
        <w:rPr>
          <w:rFonts w:ascii="Roboto" w:hAnsi="Roboto" w:cs="Times New Roman"/>
          <w:sz w:val="20"/>
          <w:szCs w:val="20"/>
          <w:lang w:val="en-GB"/>
        </w:rPr>
      </w:pPr>
      <w:r w:rsidRPr="00D65CBC">
        <w:rPr>
          <w:rFonts w:ascii="Roboto" w:hAnsi="Roboto" w:cs="Times New Roman"/>
          <w:sz w:val="20"/>
          <w:szCs w:val="20"/>
          <w:lang w:val="en-GB"/>
        </w:rPr>
        <w:t>CMS organized workshop on migratory species (Art. 6(f))</w:t>
      </w:r>
    </w:p>
    <w:p w14:paraId="6D169AFB" w14:textId="77777777" w:rsidR="00D65CBC" w:rsidRPr="00D65CBC" w:rsidRDefault="00D65CBC" w:rsidP="00D65CBC">
      <w:pPr>
        <w:numPr>
          <w:ilvl w:val="0"/>
          <w:numId w:val="2"/>
        </w:numPr>
        <w:rPr>
          <w:rFonts w:ascii="Roboto" w:hAnsi="Roboto" w:cs="Times New Roman"/>
          <w:sz w:val="20"/>
          <w:szCs w:val="20"/>
          <w:lang w:val="en-GB"/>
        </w:rPr>
      </w:pPr>
      <w:r w:rsidRPr="00D65CBC">
        <w:rPr>
          <w:rFonts w:ascii="Roboto" w:hAnsi="Roboto" w:cs="Times New Roman"/>
          <w:sz w:val="20"/>
          <w:szCs w:val="20"/>
          <w:lang w:val="en-GB"/>
        </w:rPr>
        <w:t>Procedures for the designation and management of shared protected areas</w:t>
      </w:r>
    </w:p>
    <w:p w14:paraId="174492E9" w14:textId="77777777" w:rsidR="00D65CBC" w:rsidRPr="00D65CBC" w:rsidRDefault="00D65CBC" w:rsidP="00D65CBC">
      <w:pPr>
        <w:numPr>
          <w:ilvl w:val="0"/>
          <w:numId w:val="2"/>
        </w:numPr>
        <w:rPr>
          <w:rFonts w:ascii="Roboto" w:hAnsi="Roboto" w:cs="Times New Roman"/>
          <w:sz w:val="20"/>
          <w:szCs w:val="20"/>
          <w:lang w:val="en-GB"/>
        </w:rPr>
      </w:pPr>
      <w:r w:rsidRPr="00D65CBC">
        <w:rPr>
          <w:rFonts w:ascii="Roboto" w:hAnsi="Roboto" w:cs="Times New Roman"/>
          <w:sz w:val="20"/>
          <w:szCs w:val="20"/>
          <w:lang w:val="en-GB"/>
        </w:rPr>
        <w:t>Protected Areas of the Caspian Sea (PACS) designation and inventories (Arts. 9, 11)</w:t>
      </w:r>
    </w:p>
    <w:p w14:paraId="3CC4B4B5" w14:textId="77777777" w:rsidR="00D65CBC" w:rsidRPr="00D65CBC" w:rsidRDefault="00D65CBC" w:rsidP="00D65CBC">
      <w:pPr>
        <w:numPr>
          <w:ilvl w:val="0"/>
          <w:numId w:val="2"/>
        </w:numPr>
        <w:rPr>
          <w:rFonts w:ascii="Roboto" w:hAnsi="Roboto" w:cs="Times New Roman"/>
          <w:sz w:val="20"/>
          <w:szCs w:val="20"/>
          <w:lang w:val="en-GB"/>
        </w:rPr>
      </w:pPr>
      <w:r w:rsidRPr="00D65CBC">
        <w:rPr>
          <w:rFonts w:ascii="Roboto" w:hAnsi="Roboto" w:cs="Times New Roman"/>
          <w:sz w:val="20"/>
          <w:szCs w:val="20"/>
          <w:lang w:val="en-GB"/>
        </w:rPr>
        <w:t>Capacity building, training and information exchange with the aim to harmonize and facilitate the management of protected areas</w:t>
      </w:r>
    </w:p>
    <w:p w14:paraId="61556935" w14:textId="77777777" w:rsidR="00D65CBC" w:rsidRPr="00D65CBC" w:rsidRDefault="00D65CBC" w:rsidP="00D65CBC">
      <w:pPr>
        <w:numPr>
          <w:ilvl w:val="0"/>
          <w:numId w:val="2"/>
        </w:numPr>
        <w:rPr>
          <w:rFonts w:ascii="Roboto" w:hAnsi="Roboto" w:cs="Times New Roman"/>
          <w:sz w:val="20"/>
          <w:szCs w:val="20"/>
          <w:lang w:val="en-GB"/>
        </w:rPr>
      </w:pPr>
      <w:r w:rsidRPr="00D65CBC">
        <w:rPr>
          <w:rFonts w:ascii="Roboto" w:hAnsi="Roboto" w:cs="Times New Roman"/>
          <w:sz w:val="20"/>
          <w:szCs w:val="20"/>
          <w:lang w:val="en-GB"/>
        </w:rPr>
        <w:t>Regional information strategy development, including institutional outreach, public awareness and sensitizing as well as target stakeholders for diverse key topics (Art. 17)</w:t>
      </w:r>
    </w:p>
    <w:p w14:paraId="24B1EDD9" w14:textId="77777777" w:rsidR="00D65CBC" w:rsidRPr="00D65CBC" w:rsidRDefault="00D65CBC" w:rsidP="00D65CBC">
      <w:pPr>
        <w:numPr>
          <w:ilvl w:val="0"/>
          <w:numId w:val="2"/>
        </w:numPr>
        <w:rPr>
          <w:rFonts w:ascii="Roboto" w:hAnsi="Roboto" w:cs="Times New Roman"/>
          <w:sz w:val="20"/>
          <w:szCs w:val="20"/>
          <w:lang w:val="en-GB"/>
        </w:rPr>
      </w:pPr>
      <w:r w:rsidRPr="00D65CBC">
        <w:rPr>
          <w:rFonts w:ascii="Roboto" w:hAnsi="Roboto" w:cs="Times New Roman"/>
          <w:sz w:val="20"/>
          <w:szCs w:val="20"/>
          <w:lang w:val="en-GB"/>
        </w:rPr>
        <w:t>Regional workshops to exchange information related to the development and use of selective fishing gear and practices that minimize waste in the catch of target species and that minimize by-catch of non-target species and the endangered species</w:t>
      </w:r>
    </w:p>
    <w:p w14:paraId="58FE5E45" w14:textId="77777777" w:rsidR="00D65CBC" w:rsidRPr="00D65CBC" w:rsidRDefault="00D65CBC" w:rsidP="00D65CBC">
      <w:pPr>
        <w:numPr>
          <w:ilvl w:val="0"/>
          <w:numId w:val="2"/>
        </w:numPr>
        <w:rPr>
          <w:rFonts w:ascii="Roboto" w:hAnsi="Roboto" w:cs="Times New Roman"/>
          <w:sz w:val="20"/>
          <w:szCs w:val="20"/>
          <w:lang w:val="en-GB"/>
        </w:rPr>
      </w:pPr>
      <w:r w:rsidRPr="00D65CBC">
        <w:rPr>
          <w:rFonts w:ascii="Roboto" w:hAnsi="Roboto" w:cs="Times New Roman"/>
          <w:sz w:val="20"/>
          <w:szCs w:val="20"/>
          <w:lang w:val="en-GB"/>
        </w:rPr>
        <w:t>Workshops to exchange information and identify common goals and procedures related to access to genetic resources (Art. 14)</w:t>
      </w:r>
    </w:p>
    <w:p w14:paraId="31735F00" w14:textId="77777777" w:rsidR="00D65CBC" w:rsidRPr="00D65CBC" w:rsidRDefault="00D65CBC" w:rsidP="00D65CBC">
      <w:pPr>
        <w:numPr>
          <w:ilvl w:val="0"/>
          <w:numId w:val="2"/>
        </w:numPr>
        <w:rPr>
          <w:rFonts w:ascii="Roboto" w:hAnsi="Roboto" w:cs="Times New Roman"/>
          <w:sz w:val="20"/>
          <w:szCs w:val="20"/>
          <w:lang w:val="en-GB"/>
        </w:rPr>
      </w:pPr>
      <w:r w:rsidRPr="00D65CBC">
        <w:rPr>
          <w:rFonts w:ascii="Roboto" w:hAnsi="Roboto" w:cs="Times New Roman"/>
          <w:sz w:val="20"/>
          <w:szCs w:val="20"/>
          <w:lang w:val="en-GB"/>
        </w:rPr>
        <w:lastRenderedPageBreak/>
        <w:t>Development of a common agenda for Caspian biodiversity related technology transfer, science and research, as well as education tools (Arts. 15, 16, 18)</w:t>
      </w:r>
    </w:p>
    <w:p w14:paraId="321045FD" w14:textId="77777777" w:rsidR="00D65CBC" w:rsidRPr="00D65CBC" w:rsidRDefault="00D65CBC" w:rsidP="00D65CBC">
      <w:pPr>
        <w:numPr>
          <w:ilvl w:val="0"/>
          <w:numId w:val="2"/>
        </w:numPr>
        <w:rPr>
          <w:rFonts w:ascii="Roboto" w:hAnsi="Roboto" w:cs="Times New Roman"/>
          <w:sz w:val="20"/>
          <w:szCs w:val="20"/>
          <w:lang w:val="en-GB"/>
        </w:rPr>
      </w:pPr>
      <w:r w:rsidRPr="00D65CBC">
        <w:rPr>
          <w:rFonts w:ascii="Roboto" w:hAnsi="Roboto" w:cs="Times New Roman"/>
          <w:sz w:val="20"/>
          <w:szCs w:val="20"/>
          <w:lang w:val="en-GB"/>
        </w:rPr>
        <w:t xml:space="preserve">Demonstration projects in the field of biodiversity science, research and education </w:t>
      </w:r>
    </w:p>
    <w:p w14:paraId="3559BD39" w14:textId="77777777" w:rsidR="00D65CBC" w:rsidRPr="00D65CBC" w:rsidRDefault="00D65CBC" w:rsidP="00D65CBC">
      <w:pPr>
        <w:numPr>
          <w:ilvl w:val="0"/>
          <w:numId w:val="2"/>
        </w:numPr>
        <w:rPr>
          <w:rFonts w:ascii="Roboto" w:hAnsi="Roboto" w:cs="Times New Roman"/>
          <w:sz w:val="20"/>
          <w:szCs w:val="20"/>
          <w:lang w:val="en-GB"/>
        </w:rPr>
      </w:pPr>
      <w:r w:rsidRPr="00D65CBC">
        <w:rPr>
          <w:rFonts w:ascii="Roboto" w:hAnsi="Roboto" w:cs="Times New Roman"/>
          <w:sz w:val="20"/>
          <w:szCs w:val="20"/>
          <w:lang w:val="en-GB"/>
        </w:rPr>
        <w:t>Establishment of an expert advisory group on biodiversity</w:t>
      </w:r>
    </w:p>
    <w:p w14:paraId="29FC1596" w14:textId="4066DD55" w:rsidR="00B05E29" w:rsidRPr="00B65877" w:rsidRDefault="00D65CBC" w:rsidP="00B65877">
      <w:pPr>
        <w:numPr>
          <w:ilvl w:val="0"/>
          <w:numId w:val="2"/>
        </w:numPr>
        <w:rPr>
          <w:rFonts w:ascii="Roboto" w:hAnsi="Roboto" w:cs="Times New Roman"/>
          <w:sz w:val="20"/>
          <w:szCs w:val="20"/>
          <w:lang w:val="en-GB"/>
        </w:rPr>
      </w:pPr>
      <w:r w:rsidRPr="00D65CBC">
        <w:rPr>
          <w:rFonts w:ascii="Roboto" w:hAnsi="Roboto" w:cs="Times New Roman"/>
          <w:sz w:val="20"/>
          <w:szCs w:val="20"/>
          <w:lang w:val="en-GB"/>
        </w:rPr>
        <w:t>Inter-regional exchanges with other regional mechanisms</w:t>
      </w:r>
    </w:p>
    <w:p w14:paraId="46D4DA22" w14:textId="77777777" w:rsidR="00C91DBF" w:rsidRPr="00CD6919" w:rsidRDefault="00C91DBF" w:rsidP="00C91DBF">
      <w:pPr>
        <w:pStyle w:val="ListParagraph"/>
        <w:numPr>
          <w:ilvl w:val="0"/>
          <w:numId w:val="16"/>
        </w:numPr>
        <w:rPr>
          <w:rFonts w:ascii="Roboto" w:hAnsi="Roboto" w:cs="Times New Roman"/>
          <w:b/>
          <w:sz w:val="20"/>
          <w:szCs w:val="20"/>
          <w:lang w:val="en-GB"/>
        </w:rPr>
      </w:pPr>
      <w:r w:rsidRPr="00CD6919">
        <w:rPr>
          <w:rFonts w:ascii="Roboto" w:hAnsi="Roboto" w:cs="Times New Roman"/>
          <w:b/>
          <w:sz w:val="20"/>
          <w:szCs w:val="20"/>
          <w:lang w:val="en-GB"/>
        </w:rPr>
        <w:t>Priority Areas of Implementation of the Protocol on Environmental Impact Assessment in a Transboundary Context (EIA Protocol)</w:t>
      </w:r>
    </w:p>
    <w:p w14:paraId="6EC11E7E" w14:textId="77777777" w:rsidR="00C91DBF" w:rsidRPr="00C91DBF" w:rsidRDefault="00C91DBF" w:rsidP="00C91DBF">
      <w:pPr>
        <w:rPr>
          <w:rFonts w:ascii="Roboto" w:hAnsi="Roboto" w:cs="Times New Roman"/>
          <w:sz w:val="20"/>
          <w:szCs w:val="20"/>
          <w:lang w:val="en-GB"/>
        </w:rPr>
      </w:pPr>
      <w:r w:rsidRPr="00C91DBF">
        <w:rPr>
          <w:rFonts w:ascii="Roboto" w:hAnsi="Roboto" w:cs="Times New Roman"/>
          <w:sz w:val="20"/>
          <w:szCs w:val="20"/>
          <w:lang w:val="en-GB"/>
        </w:rPr>
        <w:t>Pending the entry into force of the EIA Protocol the following priorities for its implementation have been identified:</w:t>
      </w:r>
    </w:p>
    <w:p w14:paraId="01BBC74E" w14:textId="77777777" w:rsidR="00C91DBF" w:rsidRPr="00C91DBF" w:rsidRDefault="00C91DBF" w:rsidP="00C91DBF">
      <w:pPr>
        <w:numPr>
          <w:ilvl w:val="0"/>
          <w:numId w:val="1"/>
        </w:numPr>
        <w:rPr>
          <w:rFonts w:ascii="Roboto" w:hAnsi="Roboto" w:cs="Times New Roman"/>
          <w:sz w:val="20"/>
          <w:szCs w:val="20"/>
          <w:lang w:val="en-GB"/>
        </w:rPr>
      </w:pPr>
      <w:r w:rsidRPr="00C91DBF">
        <w:rPr>
          <w:rFonts w:ascii="Roboto" w:hAnsi="Roboto" w:cs="Times New Roman"/>
          <w:sz w:val="20"/>
          <w:szCs w:val="20"/>
          <w:lang w:val="en-GB"/>
        </w:rPr>
        <w:t>Review and adaptation of national legislation (Art. 4)</w:t>
      </w:r>
    </w:p>
    <w:p w14:paraId="1BD9B4CF" w14:textId="77777777" w:rsidR="00C91DBF" w:rsidRPr="00C91DBF" w:rsidRDefault="00C91DBF" w:rsidP="00C91DBF">
      <w:pPr>
        <w:numPr>
          <w:ilvl w:val="0"/>
          <w:numId w:val="1"/>
        </w:numPr>
        <w:rPr>
          <w:rFonts w:ascii="Roboto" w:hAnsi="Roboto" w:cs="Times New Roman"/>
          <w:sz w:val="20"/>
          <w:szCs w:val="20"/>
          <w:lang w:val="en-GB"/>
        </w:rPr>
      </w:pPr>
      <w:r w:rsidRPr="00C91DBF">
        <w:rPr>
          <w:rFonts w:ascii="Roboto" w:hAnsi="Roboto" w:cs="Times New Roman"/>
          <w:sz w:val="20"/>
          <w:szCs w:val="20"/>
          <w:lang w:val="en-GB"/>
        </w:rPr>
        <w:t>Review and adaptation of public consultation procedures (Arts. 4, 8)</w:t>
      </w:r>
    </w:p>
    <w:p w14:paraId="09FA28E5" w14:textId="77777777" w:rsidR="00C91DBF" w:rsidRPr="00C91DBF" w:rsidRDefault="00C91DBF" w:rsidP="00C91DBF">
      <w:pPr>
        <w:numPr>
          <w:ilvl w:val="0"/>
          <w:numId w:val="1"/>
        </w:numPr>
        <w:rPr>
          <w:rFonts w:ascii="Roboto" w:hAnsi="Roboto" w:cs="Times New Roman"/>
          <w:sz w:val="20"/>
          <w:szCs w:val="20"/>
          <w:lang w:val="en-GB"/>
        </w:rPr>
      </w:pPr>
      <w:r w:rsidRPr="00C91DBF">
        <w:rPr>
          <w:rFonts w:ascii="Roboto" w:hAnsi="Roboto" w:cs="Times New Roman"/>
          <w:sz w:val="20"/>
          <w:szCs w:val="20"/>
          <w:lang w:val="en-GB"/>
        </w:rPr>
        <w:t>Capacity building and training including exchange of information on the review and harmonization of national legislation and public consultation procedures</w:t>
      </w:r>
    </w:p>
    <w:p w14:paraId="5CFF8C71" w14:textId="77777777" w:rsidR="00C91DBF" w:rsidRPr="00C91DBF" w:rsidRDefault="00C91DBF" w:rsidP="00C91DBF">
      <w:pPr>
        <w:numPr>
          <w:ilvl w:val="0"/>
          <w:numId w:val="1"/>
        </w:numPr>
        <w:rPr>
          <w:rFonts w:ascii="Roboto" w:hAnsi="Roboto" w:cs="Times New Roman"/>
          <w:sz w:val="20"/>
          <w:szCs w:val="20"/>
          <w:lang w:val="en-GB"/>
        </w:rPr>
      </w:pPr>
      <w:r w:rsidRPr="00C91DBF">
        <w:rPr>
          <w:rFonts w:ascii="Roboto" w:hAnsi="Roboto" w:cs="Times New Roman"/>
          <w:sz w:val="20"/>
          <w:szCs w:val="20"/>
          <w:lang w:val="en-GB"/>
        </w:rPr>
        <w:t>Establishment of Points of Contact and development by them of standard notification/ communication forms and procedures (Arts. 5, 6)</w:t>
      </w:r>
    </w:p>
    <w:p w14:paraId="52BBAE2E" w14:textId="77777777" w:rsidR="00C91DBF" w:rsidRPr="00C91DBF" w:rsidRDefault="00C91DBF" w:rsidP="00C91DBF">
      <w:pPr>
        <w:numPr>
          <w:ilvl w:val="0"/>
          <w:numId w:val="1"/>
        </w:numPr>
        <w:rPr>
          <w:rFonts w:ascii="Roboto" w:hAnsi="Roboto" w:cs="Times New Roman"/>
          <w:sz w:val="20"/>
          <w:szCs w:val="20"/>
          <w:lang w:val="en-GB"/>
        </w:rPr>
      </w:pPr>
      <w:r w:rsidRPr="00C91DBF">
        <w:rPr>
          <w:rFonts w:ascii="Roboto" w:hAnsi="Roboto" w:cs="Times New Roman"/>
          <w:sz w:val="20"/>
          <w:szCs w:val="20"/>
          <w:lang w:val="en-GB"/>
        </w:rPr>
        <w:t>Procedures for consultation, transparent decision making and post project analysis (Arts. 8, 9, 10, 11)</w:t>
      </w:r>
    </w:p>
    <w:p w14:paraId="05160078" w14:textId="77777777" w:rsidR="00C91DBF" w:rsidRPr="00C91DBF" w:rsidRDefault="00C91DBF" w:rsidP="00C91DBF">
      <w:pPr>
        <w:numPr>
          <w:ilvl w:val="0"/>
          <w:numId w:val="1"/>
        </w:numPr>
        <w:rPr>
          <w:rFonts w:ascii="Roboto" w:hAnsi="Roboto" w:cs="Times New Roman"/>
          <w:sz w:val="20"/>
          <w:szCs w:val="20"/>
          <w:lang w:val="en-GB"/>
        </w:rPr>
      </w:pPr>
      <w:r w:rsidRPr="00C91DBF">
        <w:rPr>
          <w:rFonts w:ascii="Roboto" w:hAnsi="Roboto" w:cs="Times New Roman"/>
          <w:sz w:val="20"/>
          <w:szCs w:val="20"/>
          <w:lang w:val="en-GB"/>
        </w:rPr>
        <w:t>Procedures for dispute settlement (Art. 15)</w:t>
      </w:r>
    </w:p>
    <w:p w14:paraId="381CA255" w14:textId="77777777" w:rsidR="00C91DBF" w:rsidRPr="00C91DBF" w:rsidRDefault="00C91DBF" w:rsidP="00C91DBF">
      <w:pPr>
        <w:numPr>
          <w:ilvl w:val="0"/>
          <w:numId w:val="1"/>
        </w:numPr>
        <w:rPr>
          <w:rFonts w:ascii="Roboto" w:hAnsi="Roboto" w:cs="Times New Roman"/>
          <w:sz w:val="20"/>
          <w:szCs w:val="20"/>
          <w:lang w:val="en-GB"/>
        </w:rPr>
      </w:pPr>
      <w:r w:rsidRPr="00C91DBF">
        <w:rPr>
          <w:rFonts w:ascii="Roboto" w:hAnsi="Roboto" w:cs="Times New Roman"/>
          <w:sz w:val="20"/>
          <w:szCs w:val="20"/>
          <w:lang w:val="en-GB"/>
        </w:rPr>
        <w:t>Capacity building and training aimed at unifying the approach towards notification, consultation, decision making and post project analysis</w:t>
      </w:r>
    </w:p>
    <w:p w14:paraId="3D8C6D32" w14:textId="77777777" w:rsidR="00C91DBF" w:rsidRPr="00C91DBF" w:rsidRDefault="00C91DBF" w:rsidP="00C91DBF">
      <w:pPr>
        <w:numPr>
          <w:ilvl w:val="0"/>
          <w:numId w:val="1"/>
        </w:numPr>
        <w:rPr>
          <w:rFonts w:ascii="Roboto" w:hAnsi="Roboto" w:cs="Times New Roman"/>
          <w:sz w:val="20"/>
          <w:szCs w:val="20"/>
          <w:lang w:val="en-GB"/>
        </w:rPr>
      </w:pPr>
      <w:r w:rsidRPr="00C91DBF">
        <w:rPr>
          <w:rFonts w:ascii="Roboto" w:hAnsi="Roboto" w:cs="Times New Roman"/>
          <w:sz w:val="20"/>
          <w:szCs w:val="20"/>
          <w:lang w:val="en-GB"/>
        </w:rPr>
        <w:t>Inventory of Annex 1 activities</w:t>
      </w:r>
    </w:p>
    <w:p w14:paraId="5CCED293" w14:textId="19B78F7E" w:rsidR="00315041" w:rsidRPr="00B65877" w:rsidRDefault="00C91DBF" w:rsidP="00B65877">
      <w:pPr>
        <w:numPr>
          <w:ilvl w:val="0"/>
          <w:numId w:val="1"/>
        </w:numPr>
        <w:rPr>
          <w:rFonts w:ascii="Roboto" w:hAnsi="Roboto" w:cs="Times New Roman"/>
          <w:sz w:val="20"/>
          <w:szCs w:val="20"/>
          <w:lang w:val="en-GB"/>
        </w:rPr>
      </w:pPr>
      <w:r w:rsidRPr="00C91DBF">
        <w:rPr>
          <w:rFonts w:ascii="Roboto" w:hAnsi="Roboto" w:cs="Times New Roman"/>
          <w:sz w:val="20"/>
          <w:szCs w:val="20"/>
          <w:lang w:val="en-GB"/>
        </w:rPr>
        <w:t>Workshops with test cases/demon</w:t>
      </w:r>
      <w:r w:rsidR="00921FA8">
        <w:rPr>
          <w:rFonts w:ascii="Roboto" w:hAnsi="Roboto" w:cs="Times New Roman"/>
          <w:sz w:val="20"/>
          <w:szCs w:val="20"/>
          <w:lang w:val="en-GB"/>
        </w:rPr>
        <w:t>stration projects</w:t>
      </w:r>
    </w:p>
    <w:p w14:paraId="057126C0" w14:textId="77777777" w:rsidR="000C3B23" w:rsidRPr="00EE18B9" w:rsidRDefault="00CD650C" w:rsidP="001D55E0">
      <w:pPr>
        <w:rPr>
          <w:rFonts w:ascii="Roboto" w:hAnsi="Roboto" w:cs="Times New Roman"/>
          <w:b/>
          <w:sz w:val="20"/>
          <w:szCs w:val="20"/>
          <w:lang w:val="en-GB"/>
        </w:rPr>
      </w:pPr>
      <w:r w:rsidRPr="00EE18B9">
        <w:rPr>
          <w:rFonts w:ascii="Roboto" w:hAnsi="Roboto" w:cs="Times New Roman"/>
          <w:b/>
          <w:sz w:val="20"/>
          <w:szCs w:val="20"/>
          <w:lang w:val="en-GB"/>
        </w:rPr>
        <w:t>Suggested A</w:t>
      </w:r>
      <w:r w:rsidR="00F1245A" w:rsidRPr="00EE18B9">
        <w:rPr>
          <w:rFonts w:ascii="Roboto" w:hAnsi="Roboto" w:cs="Times New Roman"/>
          <w:b/>
          <w:sz w:val="20"/>
          <w:szCs w:val="20"/>
          <w:lang w:val="en-GB"/>
        </w:rPr>
        <w:t>ction</w:t>
      </w:r>
    </w:p>
    <w:p w14:paraId="60E842F4" w14:textId="77777777" w:rsidR="000E065A" w:rsidRDefault="00AB00BF" w:rsidP="001D55E0">
      <w:pPr>
        <w:rPr>
          <w:rFonts w:ascii="Roboto" w:hAnsi="Roboto" w:cs="Times New Roman"/>
          <w:sz w:val="20"/>
          <w:szCs w:val="20"/>
          <w:lang w:val="en-GB"/>
        </w:rPr>
      </w:pPr>
      <w:r>
        <w:rPr>
          <w:rFonts w:ascii="Roboto" w:hAnsi="Roboto" w:cs="Times New Roman"/>
          <w:sz w:val="20"/>
          <w:szCs w:val="20"/>
          <w:lang w:val="en-GB"/>
        </w:rPr>
        <w:t>Pending</w:t>
      </w:r>
      <w:r w:rsidR="00F5315B">
        <w:rPr>
          <w:rFonts w:ascii="Roboto" w:hAnsi="Roboto" w:cs="Times New Roman"/>
          <w:sz w:val="20"/>
          <w:szCs w:val="20"/>
          <w:lang w:val="en-GB"/>
        </w:rPr>
        <w:t xml:space="preserve"> the entry into force of the Moscow Protocol, the Ashgabat</w:t>
      </w:r>
      <w:r>
        <w:rPr>
          <w:rFonts w:ascii="Roboto" w:hAnsi="Roboto" w:cs="Times New Roman"/>
          <w:sz w:val="20"/>
          <w:szCs w:val="20"/>
          <w:lang w:val="en-GB"/>
        </w:rPr>
        <w:t xml:space="preserve"> Protocol</w:t>
      </w:r>
      <w:r w:rsidR="00884811">
        <w:rPr>
          <w:rFonts w:ascii="Roboto" w:hAnsi="Roboto" w:cs="Times New Roman"/>
          <w:sz w:val="20"/>
          <w:szCs w:val="20"/>
          <w:lang w:val="en-GB"/>
        </w:rPr>
        <w:t>,</w:t>
      </w:r>
      <w:r>
        <w:rPr>
          <w:rFonts w:ascii="Roboto" w:hAnsi="Roboto" w:cs="Times New Roman"/>
          <w:sz w:val="20"/>
          <w:szCs w:val="20"/>
          <w:lang w:val="en-GB"/>
        </w:rPr>
        <w:t xml:space="preserve"> and the EIA Protoco</w:t>
      </w:r>
      <w:r w:rsidR="00103E24">
        <w:rPr>
          <w:rFonts w:ascii="Roboto" w:hAnsi="Roboto" w:cs="Times New Roman"/>
          <w:sz w:val="20"/>
          <w:szCs w:val="20"/>
          <w:lang w:val="en-GB"/>
        </w:rPr>
        <w:t xml:space="preserve">l, a non-exhaustive list of suggested actions is put forward for the convenience and consideration of the Contracting Parties to the Tehran Convention. </w:t>
      </w:r>
      <w:r w:rsidR="003F70DE">
        <w:rPr>
          <w:rFonts w:ascii="Roboto" w:hAnsi="Roboto" w:cs="Times New Roman"/>
          <w:sz w:val="20"/>
          <w:szCs w:val="20"/>
          <w:lang w:val="en-GB"/>
        </w:rPr>
        <w:t>These suggested actions derive from the priority areas of implementation</w:t>
      </w:r>
      <w:r w:rsidR="00463A10">
        <w:rPr>
          <w:rFonts w:ascii="Roboto" w:hAnsi="Roboto" w:cs="Times New Roman"/>
          <w:sz w:val="20"/>
          <w:szCs w:val="20"/>
          <w:lang w:val="en-GB"/>
        </w:rPr>
        <w:t xml:space="preserve"> of the P</w:t>
      </w:r>
      <w:r w:rsidR="003F70DE">
        <w:rPr>
          <w:rFonts w:ascii="Roboto" w:hAnsi="Roboto" w:cs="Times New Roman"/>
          <w:sz w:val="20"/>
          <w:szCs w:val="20"/>
          <w:lang w:val="en-GB"/>
        </w:rPr>
        <w:t>rotocols</w:t>
      </w:r>
      <w:r w:rsidR="00CF3B89">
        <w:rPr>
          <w:rFonts w:ascii="Roboto" w:hAnsi="Roboto" w:cs="Times New Roman"/>
          <w:sz w:val="20"/>
          <w:szCs w:val="20"/>
          <w:lang w:val="en-GB"/>
        </w:rPr>
        <w:t xml:space="preserve"> and from the text of the Protocols itself.</w:t>
      </w:r>
    </w:p>
    <w:p w14:paraId="495D751D" w14:textId="77777777" w:rsidR="0071490C" w:rsidRDefault="0071490C" w:rsidP="0071490C">
      <w:pPr>
        <w:rPr>
          <w:rFonts w:ascii="Roboto" w:hAnsi="Roboto" w:cs="Times New Roman"/>
          <w:sz w:val="20"/>
          <w:szCs w:val="20"/>
          <w:lang w:val="sr-Latn-RS"/>
        </w:rPr>
      </w:pPr>
      <w:r w:rsidRPr="0071490C">
        <w:rPr>
          <w:rFonts w:ascii="Roboto" w:hAnsi="Roboto" w:cs="Times New Roman"/>
          <w:sz w:val="20"/>
          <w:szCs w:val="20"/>
          <w:lang w:val="en-GB"/>
        </w:rPr>
        <w:t>The Conferen</w:t>
      </w:r>
      <w:r>
        <w:rPr>
          <w:rFonts w:ascii="Roboto" w:hAnsi="Roboto" w:cs="Times New Roman"/>
          <w:sz w:val="20"/>
          <w:szCs w:val="20"/>
          <w:lang w:val="en-GB"/>
        </w:rPr>
        <w:t>ce may wish to</w:t>
      </w:r>
      <w:r>
        <w:rPr>
          <w:rFonts w:ascii="Roboto" w:hAnsi="Roboto" w:cs="Times New Roman"/>
          <w:sz w:val="20"/>
          <w:szCs w:val="20"/>
          <w:lang w:val="sr-Latn-RS"/>
        </w:rPr>
        <w:t>:</w:t>
      </w:r>
    </w:p>
    <w:p w14:paraId="2162B7A6" w14:textId="77777777" w:rsidR="009F2DA0" w:rsidRPr="00EE18B9" w:rsidRDefault="00320D93" w:rsidP="00EE18B9">
      <w:pPr>
        <w:pStyle w:val="ListParagraph"/>
        <w:numPr>
          <w:ilvl w:val="0"/>
          <w:numId w:val="24"/>
        </w:numPr>
        <w:rPr>
          <w:rFonts w:ascii="Roboto" w:hAnsi="Roboto" w:cs="Times New Roman"/>
          <w:sz w:val="20"/>
          <w:szCs w:val="20"/>
          <w:lang w:val="sr-Latn-RS"/>
        </w:rPr>
      </w:pPr>
      <w:r w:rsidRPr="00EE18B9">
        <w:rPr>
          <w:rFonts w:ascii="Roboto" w:hAnsi="Roboto" w:cs="Times New Roman"/>
          <w:sz w:val="20"/>
          <w:szCs w:val="20"/>
          <w:lang w:val="sr-Latn-RS"/>
        </w:rPr>
        <w:t>Encourage the ratification process in the relevant countries of the Moscow Protocol, the Ashgabat</w:t>
      </w:r>
      <w:r w:rsidR="00884811" w:rsidRPr="00EE18B9">
        <w:rPr>
          <w:rFonts w:ascii="Roboto" w:hAnsi="Roboto" w:cs="Times New Roman"/>
          <w:sz w:val="20"/>
          <w:szCs w:val="20"/>
          <w:lang w:val="sr-Latn-RS"/>
        </w:rPr>
        <w:t xml:space="preserve"> Protocol, an</w:t>
      </w:r>
      <w:r w:rsidR="000B0E3D" w:rsidRPr="00EE18B9">
        <w:rPr>
          <w:rFonts w:ascii="Roboto" w:hAnsi="Roboto" w:cs="Times New Roman"/>
          <w:sz w:val="20"/>
          <w:szCs w:val="20"/>
          <w:lang w:val="sr-Latn-RS"/>
        </w:rPr>
        <w:t>d the EIA Protocol to ensure their</w:t>
      </w:r>
      <w:r w:rsidR="00884811" w:rsidRPr="00EE18B9">
        <w:rPr>
          <w:rFonts w:ascii="Roboto" w:hAnsi="Roboto" w:cs="Times New Roman"/>
          <w:sz w:val="20"/>
          <w:szCs w:val="20"/>
          <w:lang w:val="sr-Latn-RS"/>
        </w:rPr>
        <w:t xml:space="preserve"> entry into force and effective implementation;</w:t>
      </w:r>
    </w:p>
    <w:p w14:paraId="2DE4541B" w14:textId="362985E8" w:rsidR="00765F42" w:rsidRPr="00EE18B9" w:rsidRDefault="00320D93" w:rsidP="00EE18B9">
      <w:pPr>
        <w:pStyle w:val="ListParagraph"/>
        <w:numPr>
          <w:ilvl w:val="0"/>
          <w:numId w:val="24"/>
        </w:numPr>
        <w:rPr>
          <w:rFonts w:ascii="Roboto" w:hAnsi="Roboto" w:cs="Times New Roman"/>
          <w:sz w:val="20"/>
          <w:szCs w:val="20"/>
          <w:lang w:val="sr-Latn-RS"/>
        </w:rPr>
      </w:pPr>
      <w:r w:rsidRPr="7A16F8C6">
        <w:rPr>
          <w:rFonts w:ascii="Roboto" w:hAnsi="Roboto" w:cs="Times New Roman"/>
          <w:sz w:val="20"/>
          <w:szCs w:val="20"/>
          <w:lang w:val="sr-Latn-RS"/>
        </w:rPr>
        <w:t>Welcome</w:t>
      </w:r>
      <w:r w:rsidR="000B0E3D" w:rsidRPr="7A16F8C6">
        <w:rPr>
          <w:rFonts w:ascii="Roboto" w:hAnsi="Roboto" w:cs="Times New Roman"/>
          <w:sz w:val="20"/>
          <w:szCs w:val="20"/>
          <w:lang w:val="sr-Latn-RS"/>
        </w:rPr>
        <w:t xml:space="preserve"> the </w:t>
      </w:r>
      <w:r w:rsidR="7E8612CE" w:rsidRPr="7A16F8C6">
        <w:rPr>
          <w:rFonts w:ascii="Roboto" w:hAnsi="Roboto" w:cs="Times New Roman"/>
          <w:sz w:val="20"/>
          <w:szCs w:val="20"/>
          <w:lang w:val="sr-Latn-RS"/>
        </w:rPr>
        <w:t>present</w:t>
      </w:r>
      <w:r w:rsidR="000B0E3D" w:rsidRPr="7A16F8C6">
        <w:rPr>
          <w:rFonts w:ascii="Roboto" w:hAnsi="Roboto" w:cs="Times New Roman"/>
          <w:sz w:val="20"/>
          <w:szCs w:val="20"/>
          <w:lang w:val="sr-Latn-RS"/>
        </w:rPr>
        <w:t xml:space="preserve"> report and the priority areas of implementation </w:t>
      </w:r>
      <w:r w:rsidR="00961B9E" w:rsidRPr="7A16F8C6">
        <w:rPr>
          <w:rFonts w:ascii="Roboto" w:hAnsi="Roboto" w:cs="Times New Roman"/>
          <w:sz w:val="20"/>
          <w:szCs w:val="20"/>
          <w:lang w:val="sr-Latn-RS"/>
        </w:rPr>
        <w:t xml:space="preserve">of </w:t>
      </w:r>
      <w:r w:rsidRPr="7A16F8C6">
        <w:rPr>
          <w:rFonts w:ascii="Roboto" w:hAnsi="Roboto" w:cs="Times New Roman"/>
          <w:sz w:val="20"/>
          <w:szCs w:val="20"/>
          <w:lang w:val="sr-Latn-RS"/>
        </w:rPr>
        <w:t>the Moscow Protocol, the Ashgabat</w:t>
      </w:r>
      <w:r w:rsidR="00292361" w:rsidRPr="7A16F8C6">
        <w:rPr>
          <w:rFonts w:ascii="Roboto" w:hAnsi="Roboto" w:cs="Times New Roman"/>
          <w:sz w:val="20"/>
          <w:szCs w:val="20"/>
          <w:lang w:val="sr-Latn-RS"/>
        </w:rPr>
        <w:t xml:space="preserve"> Protocol, and the EIA Protocos and </w:t>
      </w:r>
      <w:r w:rsidR="00292361" w:rsidRPr="7A16F8C6">
        <w:rPr>
          <w:rFonts w:ascii="Roboto" w:hAnsi="Roboto" w:cs="Times New Roman"/>
          <w:sz w:val="20"/>
          <w:szCs w:val="20"/>
          <w:lang w:val="en-GB"/>
        </w:rPr>
        <w:t>r</w:t>
      </w:r>
      <w:r w:rsidRPr="7A16F8C6">
        <w:rPr>
          <w:rFonts w:ascii="Roboto" w:hAnsi="Roboto" w:cs="Times New Roman"/>
          <w:sz w:val="20"/>
          <w:szCs w:val="20"/>
          <w:lang w:val="en-GB"/>
        </w:rPr>
        <w:t xml:space="preserve">equest the Secretariat to seek extrabudgetary support for the implementation of the Protocols and </w:t>
      </w:r>
      <w:r w:rsidR="00FA63FB" w:rsidRPr="7A16F8C6">
        <w:rPr>
          <w:rFonts w:ascii="Roboto" w:hAnsi="Roboto" w:cs="Times New Roman"/>
          <w:sz w:val="20"/>
          <w:szCs w:val="20"/>
          <w:lang w:val="en-GB"/>
        </w:rPr>
        <w:t xml:space="preserve">to </w:t>
      </w:r>
      <w:r w:rsidR="00241DED" w:rsidRPr="7A16F8C6">
        <w:rPr>
          <w:rFonts w:ascii="Roboto" w:hAnsi="Roboto" w:cs="Times New Roman"/>
          <w:sz w:val="20"/>
          <w:szCs w:val="20"/>
          <w:lang w:val="en-GB"/>
        </w:rPr>
        <w:t>promote</w:t>
      </w:r>
      <w:r w:rsidR="00426BC0" w:rsidRPr="7A16F8C6">
        <w:rPr>
          <w:rFonts w:ascii="Roboto" w:hAnsi="Roboto" w:cs="Times New Roman"/>
          <w:sz w:val="20"/>
          <w:szCs w:val="20"/>
          <w:lang w:val="en-GB"/>
        </w:rPr>
        <w:t xml:space="preserve"> the ratification and i</w:t>
      </w:r>
      <w:r w:rsidR="00F25963" w:rsidRPr="7A16F8C6">
        <w:rPr>
          <w:rFonts w:ascii="Roboto" w:hAnsi="Roboto" w:cs="Times New Roman"/>
          <w:sz w:val="20"/>
          <w:szCs w:val="20"/>
          <w:lang w:val="en-GB"/>
        </w:rPr>
        <w:t>mplementation process of the Moscow Protocol, the Ashgabat</w:t>
      </w:r>
      <w:r w:rsidR="00426BC0" w:rsidRPr="7A16F8C6">
        <w:rPr>
          <w:rFonts w:ascii="Roboto" w:hAnsi="Roboto" w:cs="Times New Roman"/>
          <w:sz w:val="20"/>
          <w:szCs w:val="20"/>
          <w:lang w:val="en-GB"/>
        </w:rPr>
        <w:t xml:space="preserve"> Protocol and the EIA Protocol;</w:t>
      </w:r>
    </w:p>
    <w:sectPr w:rsidR="00765F42" w:rsidRPr="00EE18B9" w:rsidSect="000F7065">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17930" w14:textId="77777777" w:rsidR="002A63D1" w:rsidRDefault="002A63D1" w:rsidP="004308BC">
      <w:pPr>
        <w:spacing w:after="0" w:line="240" w:lineRule="auto"/>
      </w:pPr>
      <w:r>
        <w:separator/>
      </w:r>
    </w:p>
  </w:endnote>
  <w:endnote w:type="continuationSeparator" w:id="0">
    <w:p w14:paraId="0AF3F312" w14:textId="77777777" w:rsidR="002A63D1" w:rsidRDefault="002A63D1" w:rsidP="004308BC">
      <w:pPr>
        <w:spacing w:after="0" w:line="240" w:lineRule="auto"/>
      </w:pPr>
      <w:r>
        <w:continuationSeparator/>
      </w:r>
    </w:p>
  </w:endnote>
  <w:endnote w:type="continuationNotice" w:id="1">
    <w:p w14:paraId="3978271A" w14:textId="77777777" w:rsidR="002A63D1" w:rsidRDefault="002A63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Roboto">
    <w:panose1 w:val="00000000000000000000"/>
    <w:charset w:val="00"/>
    <w:family w:val="auto"/>
    <w:pitch w:val="variable"/>
    <w:sig w:usb0="E00002EF" w:usb1="5000205B" w:usb2="0000002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358CDEB" w14:paraId="2A8041FF" w14:textId="77777777" w:rsidTr="1358CDEB">
      <w:tc>
        <w:tcPr>
          <w:tcW w:w="3120" w:type="dxa"/>
        </w:tcPr>
        <w:p w14:paraId="7EC36A4D" w14:textId="29A74AFC" w:rsidR="1358CDEB" w:rsidRDefault="1358CDEB" w:rsidP="1358CDEB">
          <w:pPr>
            <w:pStyle w:val="Header"/>
            <w:ind w:left="-115"/>
          </w:pPr>
        </w:p>
      </w:tc>
      <w:tc>
        <w:tcPr>
          <w:tcW w:w="3120" w:type="dxa"/>
        </w:tcPr>
        <w:p w14:paraId="38DBE7B0" w14:textId="247879B5" w:rsidR="1358CDEB" w:rsidRDefault="1358CDEB" w:rsidP="1358CDEB">
          <w:pPr>
            <w:pStyle w:val="Header"/>
            <w:jc w:val="center"/>
          </w:pPr>
        </w:p>
      </w:tc>
      <w:tc>
        <w:tcPr>
          <w:tcW w:w="3120" w:type="dxa"/>
        </w:tcPr>
        <w:p w14:paraId="621097F4" w14:textId="570F2A13" w:rsidR="1358CDEB" w:rsidRDefault="1358CDEB" w:rsidP="1358CDEB">
          <w:pPr>
            <w:pStyle w:val="Header"/>
            <w:ind w:right="-115"/>
            <w:jc w:val="right"/>
          </w:pPr>
        </w:p>
      </w:tc>
    </w:tr>
  </w:tbl>
  <w:p w14:paraId="5CA43571" w14:textId="7C6C57DE" w:rsidR="1358CDEB" w:rsidRDefault="1358CDEB" w:rsidP="1358CD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358CDEB" w14:paraId="77B410E6" w14:textId="77777777" w:rsidTr="1358CDEB">
      <w:tc>
        <w:tcPr>
          <w:tcW w:w="3120" w:type="dxa"/>
        </w:tcPr>
        <w:p w14:paraId="528520BB" w14:textId="3F73E035" w:rsidR="1358CDEB" w:rsidRDefault="1358CDEB" w:rsidP="1358CDEB">
          <w:pPr>
            <w:pStyle w:val="Header"/>
            <w:ind w:left="-115"/>
          </w:pPr>
        </w:p>
      </w:tc>
      <w:tc>
        <w:tcPr>
          <w:tcW w:w="3120" w:type="dxa"/>
        </w:tcPr>
        <w:p w14:paraId="5AAE9132" w14:textId="6C47C594" w:rsidR="1358CDEB" w:rsidRDefault="1358CDEB" w:rsidP="1358CDEB">
          <w:pPr>
            <w:pStyle w:val="Header"/>
            <w:jc w:val="center"/>
          </w:pPr>
        </w:p>
      </w:tc>
      <w:tc>
        <w:tcPr>
          <w:tcW w:w="3120" w:type="dxa"/>
        </w:tcPr>
        <w:p w14:paraId="60DAFF3F" w14:textId="1487A8CF" w:rsidR="1358CDEB" w:rsidRDefault="1358CDEB" w:rsidP="1358CDEB">
          <w:pPr>
            <w:pStyle w:val="Header"/>
            <w:ind w:right="-115"/>
            <w:jc w:val="right"/>
          </w:pPr>
        </w:p>
      </w:tc>
    </w:tr>
  </w:tbl>
  <w:p w14:paraId="68075D60" w14:textId="39E99905" w:rsidR="1358CDEB" w:rsidRDefault="1358CDEB" w:rsidP="1358C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644BE" w14:textId="77777777" w:rsidR="002A63D1" w:rsidRDefault="002A63D1" w:rsidP="004308BC">
      <w:pPr>
        <w:spacing w:after="0" w:line="240" w:lineRule="auto"/>
      </w:pPr>
      <w:r>
        <w:separator/>
      </w:r>
    </w:p>
  </w:footnote>
  <w:footnote w:type="continuationSeparator" w:id="0">
    <w:p w14:paraId="291FB646" w14:textId="77777777" w:rsidR="002A63D1" w:rsidRDefault="002A63D1" w:rsidP="004308BC">
      <w:pPr>
        <w:spacing w:after="0" w:line="240" w:lineRule="auto"/>
      </w:pPr>
      <w:r>
        <w:continuationSeparator/>
      </w:r>
    </w:p>
  </w:footnote>
  <w:footnote w:type="continuationNotice" w:id="1">
    <w:p w14:paraId="620E1FCB" w14:textId="77777777" w:rsidR="002A63D1" w:rsidRDefault="002A63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0B65" w14:textId="4AF886A0" w:rsidR="000F7065" w:rsidRPr="00CE4D06" w:rsidRDefault="000F7065" w:rsidP="000F7065">
    <w:pPr>
      <w:widowControl w:val="0"/>
      <w:pBdr>
        <w:bottom w:val="single" w:sz="4" w:space="1" w:color="000000"/>
      </w:pBdr>
      <w:tabs>
        <w:tab w:val="center" w:pos="4320"/>
        <w:tab w:val="left" w:pos="4980"/>
        <w:tab w:val="right" w:pos="8640"/>
      </w:tabs>
      <w:autoSpaceDE w:val="0"/>
      <w:autoSpaceDN w:val="0"/>
      <w:spacing w:after="0" w:line="240" w:lineRule="auto"/>
      <w:rPr>
        <w:rFonts w:ascii="Roboto" w:eastAsia="Times New Roman" w:hAnsi="Roboto" w:cs="Times New Roman"/>
        <w:b/>
      </w:rPr>
    </w:pPr>
    <w:r w:rsidRPr="00CE4D06">
      <w:rPr>
        <w:rFonts w:ascii="Roboto" w:eastAsia="Times New Roman" w:hAnsi="Roboto" w:cs="Times New Roman"/>
        <w:b/>
      </w:rPr>
      <w:t>TC/COP6/</w:t>
    </w:r>
    <w:r w:rsidR="00F30B94">
      <w:rPr>
        <w:rFonts w:ascii="Roboto" w:eastAsia="Times New Roman" w:hAnsi="Roboto" w:cs="Times New Roman"/>
        <w:b/>
      </w:rPr>
      <w:t>4</w:t>
    </w:r>
    <w:r w:rsidRPr="00CE4D06">
      <w:rPr>
        <w:rFonts w:ascii="Roboto" w:eastAsia="Times New Roman" w:hAnsi="Roboto" w:cs="Times New Roman"/>
        <w:b/>
      </w:rPr>
      <w:tab/>
    </w:r>
    <w:r w:rsidRPr="00CE4D06">
      <w:rPr>
        <w:rFonts w:ascii="Roboto" w:eastAsia="Times New Roman" w:hAnsi="Roboto" w:cs="Times New Roman"/>
        <w:b/>
      </w:rPr>
      <w:tab/>
    </w:r>
    <w:r w:rsidRPr="00CE4D06">
      <w:rPr>
        <w:rFonts w:ascii="Roboto" w:eastAsia="Times New Roman" w:hAnsi="Roboto" w:cs="Times New Roman"/>
        <w:noProof/>
        <w:sz w:val="24"/>
      </w:rPr>
      <mc:AlternateContent>
        <mc:Choice Requires="wps">
          <w:drawing>
            <wp:anchor distT="0" distB="0" distL="114300" distR="114300" simplePos="0" relativeHeight="251658240" behindDoc="1" locked="0" layoutInCell="1" allowOverlap="1" wp14:anchorId="1B26AACB" wp14:editId="3572F275">
              <wp:simplePos x="0" y="0"/>
              <wp:positionH relativeFrom="page">
                <wp:posOffset>6318250</wp:posOffset>
              </wp:positionH>
              <wp:positionV relativeFrom="page">
                <wp:posOffset>436245</wp:posOffset>
              </wp:positionV>
              <wp:extent cx="140335" cy="1663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C3BA3" w14:textId="738EE0FC" w:rsidR="000F7065" w:rsidRDefault="000F7065" w:rsidP="000F7065">
                          <w:pPr>
                            <w:spacing w:before="11"/>
                            <w:ind w:left="60"/>
                            <w:rPr>
                              <w:sz w:val="20"/>
                            </w:rPr>
                          </w:pPr>
                          <w:r>
                            <w:fldChar w:fldCharType="begin"/>
                          </w:r>
                          <w:r>
                            <w:rPr>
                              <w:sz w:val="20"/>
                            </w:rPr>
                            <w:instrText xml:space="preserve"> PAGE </w:instrText>
                          </w:r>
                          <w:r>
                            <w:fldChar w:fldCharType="separate"/>
                          </w:r>
                          <w:r w:rsidR="009571F9">
                            <w:rPr>
                              <w:noProof/>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v:shapetype id="_x0000_t202" coordsize="21600,21600" o:spt="202" path="m,l,21600r21600,l21600,xe" w14:anchorId="1B26AACB">
              <v:stroke joinstyle="miter"/>
              <v:path gradientshapeok="t" o:connecttype="rect"/>
            </v:shapetype>
            <v:shape id="Text Box 2" style="position:absolute;margin-left:497.5pt;margin-top:34.35pt;width:11.05pt;height:13.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">
              <v:textbox inset="0,0,0,0">
                <w:txbxContent>
                  <w:p w:rsidR="000F7065" w:rsidP="000F7065" w:rsidRDefault="000F7065" w14:paraId="15CC3BA3" w14:textId="738EE0FC">
                    <w:pPr>
                      <w:spacing w:before="11"/>
                      <w:ind w:left="60"/>
                      <w:rPr>
                        <w:sz w:val="20"/>
                      </w:rPr>
                    </w:pPr>
                    <w:r>
                      <w:fldChar w:fldCharType="begin"/>
                    </w:r>
                    <w:r>
                      <w:rPr>
                        <w:sz w:val="20"/>
                      </w:rPr>
                      <w:instrText xml:space="preserve"> PAGE </w:instrText>
                    </w:r>
                    <w:r>
                      <w:fldChar w:fldCharType="separate"/>
                    </w:r>
                    <w:r w:rsidR="009571F9">
                      <w:rPr>
                        <w:noProof/>
                        <w:sz w:val="20"/>
                      </w:rPr>
                      <w:t>4</w:t>
                    </w:r>
                    <w:r>
                      <w:fldChar w:fldCharType="end"/>
                    </w:r>
                  </w:p>
                </w:txbxContent>
              </v:textbox>
              <w10:wrap anchorx="page" anchory="page"/>
            </v:shape>
          </w:pict>
        </mc:Fallback>
      </mc:AlternateContent>
    </w:r>
  </w:p>
  <w:p w14:paraId="1B0B1083" w14:textId="77777777" w:rsidR="000F7065" w:rsidRDefault="000F7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68"/>
      <w:gridCol w:w="2160"/>
    </w:tblGrid>
    <w:tr w:rsidR="00910AEB" w:rsidRPr="00CE4D06" w14:paraId="047FA24B" w14:textId="77777777">
      <w:tc>
        <w:tcPr>
          <w:tcW w:w="6768" w:type="dxa"/>
          <w:tcBorders>
            <w:top w:val="nil"/>
            <w:left w:val="nil"/>
            <w:bottom w:val="nil"/>
            <w:right w:val="nil"/>
          </w:tcBorders>
        </w:tcPr>
        <w:p w14:paraId="7D4BCD96" w14:textId="134555C7" w:rsidR="00910AEB" w:rsidRPr="00CE4D06" w:rsidRDefault="00910AEB" w:rsidP="00910AEB">
          <w:pPr>
            <w:widowControl w:val="0"/>
            <w:tabs>
              <w:tab w:val="center" w:pos="4320"/>
              <w:tab w:val="right" w:pos="8640"/>
            </w:tabs>
            <w:autoSpaceDE w:val="0"/>
            <w:autoSpaceDN w:val="0"/>
            <w:spacing w:after="0" w:line="240" w:lineRule="auto"/>
            <w:rPr>
              <w:rFonts w:ascii="Roboto" w:eastAsia="Roboto" w:hAnsi="Roboto" w:cs="Times New Roman"/>
              <w:sz w:val="20"/>
              <w:szCs w:val="20"/>
            </w:rPr>
          </w:pPr>
        </w:p>
      </w:tc>
      <w:tc>
        <w:tcPr>
          <w:tcW w:w="2160" w:type="dxa"/>
          <w:tcBorders>
            <w:top w:val="nil"/>
            <w:left w:val="nil"/>
            <w:bottom w:val="nil"/>
            <w:right w:val="nil"/>
          </w:tcBorders>
        </w:tcPr>
        <w:p w14:paraId="601AF040" w14:textId="77777777" w:rsidR="00910AEB" w:rsidRPr="00CE4D06" w:rsidRDefault="00910AEB" w:rsidP="00910AEB">
          <w:pPr>
            <w:widowControl w:val="0"/>
            <w:tabs>
              <w:tab w:val="center" w:pos="4320"/>
              <w:tab w:val="right" w:pos="8640"/>
            </w:tabs>
            <w:autoSpaceDE w:val="0"/>
            <w:autoSpaceDN w:val="0"/>
            <w:spacing w:after="0" w:line="240" w:lineRule="auto"/>
            <w:jc w:val="right"/>
            <w:rPr>
              <w:rFonts w:ascii="Roboto" w:eastAsia="Roboto" w:hAnsi="Roboto" w:cs="Times New Roman"/>
              <w:b/>
              <w:sz w:val="20"/>
              <w:szCs w:val="20"/>
            </w:rPr>
          </w:pPr>
          <w:r w:rsidRPr="00CE4D06">
            <w:rPr>
              <w:rFonts w:ascii="Roboto" w:eastAsia="Roboto" w:hAnsi="Roboto" w:cs="Times New Roman"/>
              <w:b/>
              <w:sz w:val="20"/>
              <w:szCs w:val="20"/>
            </w:rPr>
            <w:t>TC</w:t>
          </w:r>
        </w:p>
      </w:tc>
    </w:tr>
    <w:tr w:rsidR="00910AEB" w:rsidRPr="00CE4D06" w14:paraId="313F5C4B" w14:textId="77777777">
      <w:tc>
        <w:tcPr>
          <w:tcW w:w="6768" w:type="dxa"/>
          <w:tcBorders>
            <w:top w:val="nil"/>
            <w:left w:val="nil"/>
            <w:bottom w:val="single" w:sz="4" w:space="0" w:color="000000"/>
            <w:right w:val="nil"/>
          </w:tcBorders>
        </w:tcPr>
        <w:p w14:paraId="2F81BEF6" w14:textId="77777777" w:rsidR="00910AEB" w:rsidRPr="00CE4D06" w:rsidRDefault="00910AEB" w:rsidP="00910AEB">
          <w:pPr>
            <w:widowControl w:val="0"/>
            <w:tabs>
              <w:tab w:val="center" w:pos="4320"/>
              <w:tab w:val="right" w:pos="8640"/>
            </w:tabs>
            <w:autoSpaceDE w:val="0"/>
            <w:autoSpaceDN w:val="0"/>
            <w:spacing w:after="0" w:line="240" w:lineRule="auto"/>
            <w:jc w:val="right"/>
            <w:rPr>
              <w:rFonts w:ascii="Roboto" w:eastAsia="Roboto" w:hAnsi="Roboto" w:cs="Times New Roman"/>
              <w:sz w:val="20"/>
              <w:szCs w:val="20"/>
            </w:rPr>
          </w:pPr>
        </w:p>
      </w:tc>
      <w:tc>
        <w:tcPr>
          <w:tcW w:w="2160" w:type="dxa"/>
          <w:tcBorders>
            <w:top w:val="nil"/>
            <w:left w:val="nil"/>
            <w:right w:val="nil"/>
          </w:tcBorders>
        </w:tcPr>
        <w:p w14:paraId="1F87A12F" w14:textId="77777777" w:rsidR="00910AEB" w:rsidRPr="00CE4D06" w:rsidRDefault="00910AEB" w:rsidP="00910AEB">
          <w:pPr>
            <w:widowControl w:val="0"/>
            <w:tabs>
              <w:tab w:val="center" w:pos="4320"/>
              <w:tab w:val="right" w:pos="8640"/>
            </w:tabs>
            <w:autoSpaceDE w:val="0"/>
            <w:autoSpaceDN w:val="0"/>
            <w:spacing w:after="0" w:line="240" w:lineRule="auto"/>
            <w:jc w:val="right"/>
            <w:rPr>
              <w:rFonts w:ascii="Roboto" w:eastAsia="Roboto" w:hAnsi="Roboto" w:cs="Times New Roman"/>
              <w:sz w:val="20"/>
              <w:szCs w:val="20"/>
            </w:rPr>
          </w:pPr>
          <w:r w:rsidRPr="00CE4D06">
            <w:rPr>
              <w:rFonts w:ascii="Roboto" w:eastAsia="Roboto" w:hAnsi="Roboto" w:cs="Times New Roman"/>
              <w:sz w:val="20"/>
              <w:szCs w:val="20"/>
            </w:rPr>
            <w:t>TC/COP6/</w:t>
          </w:r>
          <w:r>
            <w:rPr>
              <w:rFonts w:ascii="Roboto" w:eastAsia="Roboto" w:hAnsi="Roboto" w:cs="Times New Roman"/>
              <w:sz w:val="20"/>
              <w:szCs w:val="20"/>
            </w:rPr>
            <w:t>4</w:t>
          </w:r>
        </w:p>
      </w:tc>
    </w:tr>
    <w:tr w:rsidR="00910AEB" w:rsidRPr="00CE4D06" w14:paraId="096AB62F" w14:textId="77777777">
      <w:trPr>
        <w:trHeight w:val="1900"/>
      </w:trPr>
      <w:tc>
        <w:tcPr>
          <w:tcW w:w="6768" w:type="dxa"/>
          <w:tcBorders>
            <w:top w:val="single" w:sz="4" w:space="0" w:color="000000"/>
            <w:left w:val="nil"/>
            <w:bottom w:val="single" w:sz="18" w:space="0" w:color="000000"/>
            <w:right w:val="nil"/>
          </w:tcBorders>
        </w:tcPr>
        <w:p w14:paraId="66C48961" w14:textId="40FCC7A1" w:rsidR="00910AEB" w:rsidRPr="00CE4D06" w:rsidRDefault="00910AEB" w:rsidP="00910AEB">
          <w:pPr>
            <w:widowControl w:val="0"/>
            <w:tabs>
              <w:tab w:val="left" w:pos="993"/>
              <w:tab w:val="left" w:pos="1985"/>
              <w:tab w:val="left" w:pos="2977"/>
              <w:tab w:val="left" w:pos="3969"/>
            </w:tabs>
            <w:autoSpaceDE w:val="0"/>
            <w:autoSpaceDN w:val="0"/>
            <w:spacing w:after="0" w:line="240" w:lineRule="auto"/>
            <w:rPr>
              <w:rFonts w:ascii="Roboto" w:eastAsia="Roboto" w:hAnsi="Roboto" w:cs="Times New Roman"/>
              <w:color w:val="000000"/>
              <w:sz w:val="20"/>
              <w:szCs w:val="20"/>
            </w:rPr>
          </w:pPr>
        </w:p>
        <w:p w14:paraId="1CD729CE" w14:textId="65F87A53" w:rsidR="00910AEB" w:rsidRPr="00CE4D06" w:rsidRDefault="00390504" w:rsidP="00910AEB">
          <w:pPr>
            <w:widowControl w:val="0"/>
            <w:tabs>
              <w:tab w:val="left" w:pos="3969"/>
              <w:tab w:val="right" w:pos="6552"/>
            </w:tabs>
            <w:autoSpaceDE w:val="0"/>
            <w:autoSpaceDN w:val="0"/>
            <w:spacing w:after="0" w:line="240" w:lineRule="auto"/>
            <w:rPr>
              <w:rFonts w:ascii="Roboto" w:eastAsia="Roboto" w:hAnsi="Roboto" w:cs="Times New Roman"/>
              <w:sz w:val="20"/>
              <w:szCs w:val="20"/>
            </w:rPr>
          </w:pPr>
          <w:r>
            <w:rPr>
              <w:noProof/>
            </w:rPr>
            <w:drawing>
              <wp:anchor distT="0" distB="0" distL="114300" distR="114300" simplePos="0" relativeHeight="251660288" behindDoc="1" locked="0" layoutInCell="1" allowOverlap="1" wp14:anchorId="1AB37272" wp14:editId="3A3EB5BE">
                <wp:simplePos x="0" y="0"/>
                <wp:positionH relativeFrom="margin">
                  <wp:posOffset>2407920</wp:posOffset>
                </wp:positionH>
                <wp:positionV relativeFrom="paragraph">
                  <wp:posOffset>73660</wp:posOffset>
                </wp:positionV>
                <wp:extent cx="695325" cy="752475"/>
                <wp:effectExtent l="0" t="0" r="9525" b="952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10AEB" w:rsidRPr="00CE4D06">
            <w:rPr>
              <w:rFonts w:ascii="Roboto" w:eastAsia="Roboto" w:hAnsi="Roboto" w:cs="Times New Roman"/>
              <w:sz w:val="20"/>
              <w:szCs w:val="20"/>
            </w:rPr>
            <w:tab/>
          </w:r>
          <w:r w:rsidR="00910AEB" w:rsidRPr="00CE4D06">
            <w:rPr>
              <w:rFonts w:ascii="Roboto" w:eastAsia="Roboto" w:hAnsi="Roboto" w:cs="Times New Roman"/>
              <w:sz w:val="20"/>
              <w:szCs w:val="20"/>
            </w:rPr>
            <w:tab/>
          </w:r>
        </w:p>
        <w:p w14:paraId="056B75F8" w14:textId="08702077" w:rsidR="00910AEB" w:rsidRPr="00CE4D06" w:rsidRDefault="00910AEB" w:rsidP="00910AEB">
          <w:pPr>
            <w:widowControl w:val="0"/>
            <w:autoSpaceDE w:val="0"/>
            <w:autoSpaceDN w:val="0"/>
            <w:spacing w:after="0" w:line="240" w:lineRule="auto"/>
            <w:rPr>
              <w:rFonts w:ascii="Roboto" w:eastAsia="Roboto" w:hAnsi="Roboto" w:cs="Times New Roman"/>
              <w:b/>
              <w:sz w:val="20"/>
              <w:szCs w:val="20"/>
            </w:rPr>
          </w:pPr>
          <w:r w:rsidRPr="00CE4D06">
            <w:rPr>
              <w:rFonts w:ascii="Roboto" w:eastAsia="Roboto" w:hAnsi="Roboto" w:cs="Times New Roman"/>
              <w:b/>
              <w:sz w:val="20"/>
              <w:szCs w:val="20"/>
            </w:rPr>
            <w:t xml:space="preserve">Framework Convention </w:t>
          </w:r>
        </w:p>
        <w:p w14:paraId="06994C11" w14:textId="3440EB4C" w:rsidR="00910AEB" w:rsidRPr="00CE4D06" w:rsidRDefault="00910AEB" w:rsidP="00910AEB">
          <w:pPr>
            <w:widowControl w:val="0"/>
            <w:autoSpaceDE w:val="0"/>
            <w:autoSpaceDN w:val="0"/>
            <w:spacing w:after="0" w:line="240" w:lineRule="auto"/>
            <w:rPr>
              <w:rFonts w:ascii="Roboto" w:eastAsia="Roboto" w:hAnsi="Roboto" w:cs="Times New Roman"/>
              <w:b/>
              <w:sz w:val="20"/>
              <w:szCs w:val="20"/>
            </w:rPr>
          </w:pPr>
          <w:r w:rsidRPr="00CE4D06">
            <w:rPr>
              <w:rFonts w:ascii="Roboto" w:eastAsia="Roboto" w:hAnsi="Roboto" w:cs="Times New Roman"/>
              <w:b/>
              <w:sz w:val="20"/>
              <w:szCs w:val="20"/>
            </w:rPr>
            <w:t xml:space="preserve">for the Protection of the Marine </w:t>
          </w:r>
        </w:p>
        <w:p w14:paraId="4207D8A8" w14:textId="77777777" w:rsidR="00910AEB" w:rsidRPr="00CE4D06" w:rsidRDefault="00910AEB" w:rsidP="00910AEB">
          <w:pPr>
            <w:widowControl w:val="0"/>
            <w:autoSpaceDE w:val="0"/>
            <w:autoSpaceDN w:val="0"/>
            <w:spacing w:after="0" w:line="240" w:lineRule="auto"/>
            <w:rPr>
              <w:rFonts w:ascii="Roboto" w:eastAsia="Roboto" w:hAnsi="Roboto" w:cs="Times New Roman"/>
              <w:b/>
              <w:sz w:val="20"/>
              <w:szCs w:val="20"/>
            </w:rPr>
          </w:pPr>
          <w:r w:rsidRPr="00CE4D06">
            <w:rPr>
              <w:rFonts w:ascii="Roboto" w:eastAsia="Roboto" w:hAnsi="Roboto" w:cs="Times New Roman"/>
              <w:b/>
              <w:sz w:val="20"/>
              <w:szCs w:val="20"/>
            </w:rPr>
            <w:t>Environment of the Caspian Sea</w:t>
          </w:r>
        </w:p>
        <w:p w14:paraId="420F6C83" w14:textId="77777777" w:rsidR="00910AEB" w:rsidRPr="00CE4D06" w:rsidRDefault="00910AEB" w:rsidP="00910AEB">
          <w:pPr>
            <w:widowControl w:val="0"/>
            <w:tabs>
              <w:tab w:val="center" w:pos="4320"/>
              <w:tab w:val="left" w:pos="6150"/>
              <w:tab w:val="right" w:pos="6980"/>
              <w:tab w:val="right" w:pos="8640"/>
            </w:tabs>
            <w:autoSpaceDE w:val="0"/>
            <w:autoSpaceDN w:val="0"/>
            <w:spacing w:after="0" w:line="240" w:lineRule="auto"/>
            <w:rPr>
              <w:rFonts w:ascii="Roboto" w:eastAsia="Roboto" w:hAnsi="Roboto" w:cs="Times New Roman"/>
              <w:sz w:val="20"/>
              <w:szCs w:val="20"/>
            </w:rPr>
          </w:pPr>
        </w:p>
      </w:tc>
      <w:tc>
        <w:tcPr>
          <w:tcW w:w="2160" w:type="dxa"/>
          <w:tcBorders>
            <w:left w:val="nil"/>
            <w:bottom w:val="single" w:sz="18" w:space="0" w:color="000000"/>
            <w:right w:val="nil"/>
          </w:tcBorders>
        </w:tcPr>
        <w:p w14:paraId="64C2C25E" w14:textId="77777777" w:rsidR="00910AEB" w:rsidRPr="00CE4D06" w:rsidRDefault="00910AEB" w:rsidP="00910AEB">
          <w:pPr>
            <w:widowControl w:val="0"/>
            <w:autoSpaceDE w:val="0"/>
            <w:autoSpaceDN w:val="0"/>
            <w:spacing w:after="0" w:line="240" w:lineRule="auto"/>
            <w:rPr>
              <w:rFonts w:ascii="Roboto" w:eastAsia="Roboto" w:hAnsi="Roboto" w:cs="Times New Roman"/>
              <w:sz w:val="20"/>
              <w:szCs w:val="20"/>
            </w:rPr>
          </w:pPr>
        </w:p>
        <w:p w14:paraId="1EA775C1" w14:textId="77777777" w:rsidR="00910AEB" w:rsidRPr="00CE4D06" w:rsidRDefault="00910AEB" w:rsidP="00910AEB">
          <w:pPr>
            <w:widowControl w:val="0"/>
            <w:autoSpaceDE w:val="0"/>
            <w:autoSpaceDN w:val="0"/>
            <w:spacing w:after="0" w:line="240" w:lineRule="auto"/>
            <w:rPr>
              <w:rFonts w:ascii="Roboto" w:eastAsia="Roboto" w:hAnsi="Roboto" w:cs="Times New Roman"/>
              <w:sz w:val="20"/>
              <w:szCs w:val="20"/>
            </w:rPr>
          </w:pPr>
        </w:p>
        <w:p w14:paraId="195D2C48" w14:textId="77777777" w:rsidR="00910AEB" w:rsidRPr="00CE4D06" w:rsidRDefault="00910AEB" w:rsidP="00910AEB">
          <w:pPr>
            <w:widowControl w:val="0"/>
            <w:autoSpaceDE w:val="0"/>
            <w:autoSpaceDN w:val="0"/>
            <w:spacing w:after="0" w:line="240" w:lineRule="auto"/>
            <w:rPr>
              <w:rFonts w:ascii="Roboto" w:eastAsia="Roboto" w:hAnsi="Roboto" w:cs="Times New Roman"/>
              <w:sz w:val="20"/>
              <w:szCs w:val="20"/>
            </w:rPr>
          </w:pPr>
          <w:r w:rsidRPr="00CE4D06">
            <w:rPr>
              <w:rFonts w:ascii="Roboto" w:eastAsia="Roboto" w:hAnsi="Roboto" w:cs="Times New Roman"/>
              <w:sz w:val="20"/>
              <w:szCs w:val="20"/>
            </w:rPr>
            <w:t>Distr.: General</w:t>
          </w:r>
        </w:p>
        <w:p w14:paraId="26787E5B" w14:textId="77777777" w:rsidR="00910AEB" w:rsidRPr="00CE4D06" w:rsidRDefault="00910AEB" w:rsidP="00910AEB">
          <w:pPr>
            <w:widowControl w:val="0"/>
            <w:autoSpaceDE w:val="0"/>
            <w:autoSpaceDN w:val="0"/>
            <w:spacing w:after="0" w:line="240" w:lineRule="auto"/>
            <w:rPr>
              <w:rFonts w:ascii="Roboto" w:eastAsia="Roboto" w:hAnsi="Roboto" w:cs="Times New Roman"/>
              <w:sz w:val="20"/>
              <w:szCs w:val="20"/>
            </w:rPr>
          </w:pPr>
          <w:r>
            <w:rPr>
              <w:rFonts w:ascii="Roboto" w:eastAsia="Roboto" w:hAnsi="Roboto" w:cs="Times New Roman"/>
              <w:sz w:val="20"/>
              <w:szCs w:val="20"/>
            </w:rPr>
            <w:t>September</w:t>
          </w:r>
          <w:r w:rsidRPr="00CE4D06">
            <w:rPr>
              <w:rFonts w:ascii="Roboto" w:eastAsia="Roboto" w:hAnsi="Roboto" w:cs="Times New Roman"/>
              <w:sz w:val="20"/>
              <w:szCs w:val="20"/>
            </w:rPr>
            <w:t xml:space="preserve"> 2022</w:t>
          </w:r>
        </w:p>
        <w:p w14:paraId="7794255F" w14:textId="77777777" w:rsidR="00910AEB" w:rsidRPr="00CE4D06" w:rsidRDefault="00910AEB" w:rsidP="00910AEB">
          <w:pPr>
            <w:widowControl w:val="0"/>
            <w:autoSpaceDE w:val="0"/>
            <w:autoSpaceDN w:val="0"/>
            <w:spacing w:after="0" w:line="240" w:lineRule="auto"/>
            <w:rPr>
              <w:rFonts w:ascii="Roboto" w:eastAsia="Roboto" w:hAnsi="Roboto" w:cs="Times New Roman"/>
              <w:sz w:val="20"/>
              <w:szCs w:val="20"/>
            </w:rPr>
          </w:pPr>
          <w:r w:rsidRPr="00CE4D06">
            <w:rPr>
              <w:rFonts w:ascii="Roboto" w:eastAsia="Roboto" w:hAnsi="Roboto" w:cs="Times New Roman"/>
              <w:sz w:val="20"/>
              <w:szCs w:val="20"/>
            </w:rPr>
            <w:t>Original: English</w:t>
          </w:r>
        </w:p>
      </w:tc>
    </w:tr>
  </w:tbl>
  <w:p w14:paraId="5DDBE889" w14:textId="77777777" w:rsidR="00910AEB" w:rsidRPr="00CE4D06" w:rsidRDefault="00910AEB" w:rsidP="00910AEB">
    <w:pPr>
      <w:widowControl w:val="0"/>
      <w:autoSpaceDE w:val="0"/>
      <w:autoSpaceDN w:val="0"/>
      <w:spacing w:after="0" w:line="240" w:lineRule="auto"/>
      <w:rPr>
        <w:rFonts w:ascii="Roboto" w:eastAsia="Roboto" w:hAnsi="Roboto" w:cs="Times New Roman"/>
        <w:sz w:val="20"/>
        <w:szCs w:val="20"/>
      </w:rPr>
    </w:pPr>
  </w:p>
  <w:p w14:paraId="5874CA34" w14:textId="77777777" w:rsidR="00910AEB" w:rsidRPr="00CE4D06" w:rsidRDefault="00910AEB" w:rsidP="00910AEB">
    <w:pPr>
      <w:widowControl w:val="0"/>
      <w:autoSpaceDE w:val="0"/>
      <w:autoSpaceDN w:val="0"/>
      <w:spacing w:after="0" w:line="240" w:lineRule="auto"/>
      <w:rPr>
        <w:rFonts w:ascii="Roboto" w:eastAsia="Roboto" w:hAnsi="Roboto" w:cs="Times New Roman"/>
        <w:b/>
        <w:sz w:val="20"/>
        <w:szCs w:val="20"/>
      </w:rPr>
    </w:pPr>
    <w:r w:rsidRPr="00CE4D06">
      <w:rPr>
        <w:rFonts w:ascii="Roboto" w:eastAsia="Roboto" w:hAnsi="Roboto" w:cs="Times New Roman"/>
        <w:b/>
        <w:sz w:val="20"/>
        <w:szCs w:val="20"/>
      </w:rPr>
      <w:t>CONFERENCE OF THE PARTIES</w:t>
    </w:r>
  </w:p>
  <w:p w14:paraId="137DFF17" w14:textId="77777777" w:rsidR="00910AEB" w:rsidRPr="00CE4D06" w:rsidRDefault="00910AEB" w:rsidP="00910AEB">
    <w:pPr>
      <w:widowControl w:val="0"/>
      <w:autoSpaceDE w:val="0"/>
      <w:autoSpaceDN w:val="0"/>
      <w:spacing w:after="0" w:line="240" w:lineRule="auto"/>
      <w:rPr>
        <w:rFonts w:ascii="Roboto" w:eastAsia="Roboto" w:hAnsi="Roboto" w:cs="Times New Roman"/>
        <w:b/>
        <w:sz w:val="20"/>
        <w:szCs w:val="20"/>
      </w:rPr>
    </w:pPr>
    <w:r w:rsidRPr="00CE4D06">
      <w:rPr>
        <w:rFonts w:ascii="Roboto" w:eastAsia="Roboto" w:hAnsi="Roboto" w:cs="Times New Roman"/>
        <w:b/>
        <w:sz w:val="20"/>
        <w:szCs w:val="20"/>
      </w:rPr>
      <w:t xml:space="preserve">Sixth Meeting </w:t>
    </w:r>
  </w:p>
  <w:p w14:paraId="63AFD2CB" w14:textId="77777777" w:rsidR="00910AEB" w:rsidRPr="00CE4D06" w:rsidRDefault="00910AEB" w:rsidP="00910AEB">
    <w:pPr>
      <w:widowControl w:val="0"/>
      <w:autoSpaceDE w:val="0"/>
      <w:autoSpaceDN w:val="0"/>
      <w:spacing w:after="0" w:line="240" w:lineRule="auto"/>
      <w:rPr>
        <w:rFonts w:ascii="Roboto" w:eastAsia="Roboto" w:hAnsi="Roboto" w:cs="Times New Roman"/>
        <w:b/>
        <w:sz w:val="20"/>
        <w:szCs w:val="20"/>
      </w:rPr>
    </w:pPr>
    <w:r w:rsidRPr="00CE4D06">
      <w:rPr>
        <w:rFonts w:ascii="Roboto" w:eastAsia="Roboto" w:hAnsi="Roboto" w:cs="Times New Roman"/>
        <w:b/>
        <w:sz w:val="20"/>
        <w:szCs w:val="20"/>
      </w:rPr>
      <w:t xml:space="preserve">19-21 October 2022, Baku, Azerbaijan  </w:t>
    </w:r>
  </w:p>
  <w:p w14:paraId="4EE07B1B" w14:textId="169C5CBD" w:rsidR="000F7065" w:rsidRPr="0079469A" w:rsidRDefault="000F7065" w:rsidP="0079469A">
    <w:pPr>
      <w:rPr>
        <w:rFonts w:ascii="Roboto" w:eastAsia="PMingLiU" w:hAnsi="Roboto"/>
        <w:b/>
        <w:bCs/>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0804"/>
    <w:multiLevelType w:val="hybridMultilevel"/>
    <w:tmpl w:val="A77A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30E36"/>
    <w:multiLevelType w:val="hybridMultilevel"/>
    <w:tmpl w:val="DA24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205ED"/>
    <w:multiLevelType w:val="hybridMultilevel"/>
    <w:tmpl w:val="228EE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240225"/>
    <w:multiLevelType w:val="hybridMultilevel"/>
    <w:tmpl w:val="21B09FD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078CE"/>
    <w:multiLevelType w:val="hybridMultilevel"/>
    <w:tmpl w:val="CCE4D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06945"/>
    <w:multiLevelType w:val="hybridMultilevel"/>
    <w:tmpl w:val="9420F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F552E"/>
    <w:multiLevelType w:val="hybridMultilevel"/>
    <w:tmpl w:val="36D04E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DE55EBC"/>
    <w:multiLevelType w:val="hybridMultilevel"/>
    <w:tmpl w:val="B220F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72374"/>
    <w:multiLevelType w:val="hybridMultilevel"/>
    <w:tmpl w:val="9AC63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0A3EC1"/>
    <w:multiLevelType w:val="hybridMultilevel"/>
    <w:tmpl w:val="ADF88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E21738"/>
    <w:multiLevelType w:val="hybridMultilevel"/>
    <w:tmpl w:val="A4A6E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111F7B"/>
    <w:multiLevelType w:val="hybridMultilevel"/>
    <w:tmpl w:val="34D4F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A438F5"/>
    <w:multiLevelType w:val="hybridMultilevel"/>
    <w:tmpl w:val="9A52DA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71E0C52"/>
    <w:multiLevelType w:val="hybridMultilevel"/>
    <w:tmpl w:val="C6C62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0733E8"/>
    <w:multiLevelType w:val="hybridMultilevel"/>
    <w:tmpl w:val="98961C22"/>
    <w:lvl w:ilvl="0" w:tplc="DACEB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476C6E"/>
    <w:multiLevelType w:val="hybridMultilevel"/>
    <w:tmpl w:val="3AECE9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C55591"/>
    <w:multiLevelType w:val="hybridMultilevel"/>
    <w:tmpl w:val="21225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CD2F3E"/>
    <w:multiLevelType w:val="hybridMultilevel"/>
    <w:tmpl w:val="CCE4D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E903E8"/>
    <w:multiLevelType w:val="hybridMultilevel"/>
    <w:tmpl w:val="C7161BB2"/>
    <w:lvl w:ilvl="0" w:tplc="9B4412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32032F"/>
    <w:multiLevelType w:val="hybridMultilevel"/>
    <w:tmpl w:val="CCE4D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33629B"/>
    <w:multiLevelType w:val="hybridMultilevel"/>
    <w:tmpl w:val="DDF0F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15070F"/>
    <w:multiLevelType w:val="hybridMultilevel"/>
    <w:tmpl w:val="70549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CF59D9"/>
    <w:multiLevelType w:val="hybridMultilevel"/>
    <w:tmpl w:val="220EE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5F2767"/>
    <w:multiLevelType w:val="hybridMultilevel"/>
    <w:tmpl w:val="C7D25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6B3EAA"/>
    <w:multiLevelType w:val="hybridMultilevel"/>
    <w:tmpl w:val="A0E03C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89245F4"/>
    <w:multiLevelType w:val="hybridMultilevel"/>
    <w:tmpl w:val="D5281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4"/>
  </w:num>
  <w:num w:numId="3">
    <w:abstractNumId w:val="6"/>
  </w:num>
  <w:num w:numId="4">
    <w:abstractNumId w:val="17"/>
  </w:num>
  <w:num w:numId="5">
    <w:abstractNumId w:val="22"/>
  </w:num>
  <w:num w:numId="6">
    <w:abstractNumId w:val="18"/>
  </w:num>
  <w:num w:numId="7">
    <w:abstractNumId w:val="11"/>
  </w:num>
  <w:num w:numId="8">
    <w:abstractNumId w:val="16"/>
  </w:num>
  <w:num w:numId="9">
    <w:abstractNumId w:val="0"/>
  </w:num>
  <w:num w:numId="10">
    <w:abstractNumId w:val="4"/>
  </w:num>
  <w:num w:numId="11">
    <w:abstractNumId w:val="19"/>
  </w:num>
  <w:num w:numId="12">
    <w:abstractNumId w:val="20"/>
  </w:num>
  <w:num w:numId="13">
    <w:abstractNumId w:val="15"/>
  </w:num>
  <w:num w:numId="14">
    <w:abstractNumId w:val="7"/>
  </w:num>
  <w:num w:numId="15">
    <w:abstractNumId w:val="5"/>
  </w:num>
  <w:num w:numId="16">
    <w:abstractNumId w:val="3"/>
  </w:num>
  <w:num w:numId="17">
    <w:abstractNumId w:val="10"/>
  </w:num>
  <w:num w:numId="18">
    <w:abstractNumId w:val="1"/>
  </w:num>
  <w:num w:numId="19">
    <w:abstractNumId w:val="25"/>
  </w:num>
  <w:num w:numId="20">
    <w:abstractNumId w:val="21"/>
  </w:num>
  <w:num w:numId="21">
    <w:abstractNumId w:val="23"/>
  </w:num>
  <w:num w:numId="22">
    <w:abstractNumId w:val="13"/>
  </w:num>
  <w:num w:numId="23">
    <w:abstractNumId w:val="14"/>
  </w:num>
  <w:num w:numId="24">
    <w:abstractNumId w:val="9"/>
  </w:num>
  <w:num w:numId="25">
    <w:abstractNumId w:val="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85E"/>
    <w:rsid w:val="00003811"/>
    <w:rsid w:val="00015E27"/>
    <w:rsid w:val="000172B0"/>
    <w:rsid w:val="00041669"/>
    <w:rsid w:val="00066F81"/>
    <w:rsid w:val="000826CD"/>
    <w:rsid w:val="00083A4C"/>
    <w:rsid w:val="0009203A"/>
    <w:rsid w:val="000B0E3D"/>
    <w:rsid w:val="000B2B8F"/>
    <w:rsid w:val="000B43C8"/>
    <w:rsid w:val="000B75DB"/>
    <w:rsid w:val="000C10EB"/>
    <w:rsid w:val="000C3250"/>
    <w:rsid w:val="000C3B23"/>
    <w:rsid w:val="000D070F"/>
    <w:rsid w:val="000D13F2"/>
    <w:rsid w:val="000D4B3E"/>
    <w:rsid w:val="000E065A"/>
    <w:rsid w:val="000E19B8"/>
    <w:rsid w:val="000F18D7"/>
    <w:rsid w:val="000F7065"/>
    <w:rsid w:val="00102DDC"/>
    <w:rsid w:val="00103E24"/>
    <w:rsid w:val="00115190"/>
    <w:rsid w:val="001169E1"/>
    <w:rsid w:val="001174FC"/>
    <w:rsid w:val="0015521D"/>
    <w:rsid w:val="001908A5"/>
    <w:rsid w:val="001955F1"/>
    <w:rsid w:val="001A0569"/>
    <w:rsid w:val="001C540E"/>
    <w:rsid w:val="001D0EC1"/>
    <w:rsid w:val="001D3F7A"/>
    <w:rsid w:val="001D55E0"/>
    <w:rsid w:val="001D650B"/>
    <w:rsid w:val="001E300F"/>
    <w:rsid w:val="001E4DDC"/>
    <w:rsid w:val="001F0041"/>
    <w:rsid w:val="001F20D3"/>
    <w:rsid w:val="001F51C6"/>
    <w:rsid w:val="00204E9D"/>
    <w:rsid w:val="002103F5"/>
    <w:rsid w:val="002240A3"/>
    <w:rsid w:val="002336BF"/>
    <w:rsid w:val="00240EEC"/>
    <w:rsid w:val="00241DED"/>
    <w:rsid w:val="0024397B"/>
    <w:rsid w:val="002838B3"/>
    <w:rsid w:val="00292361"/>
    <w:rsid w:val="002A63D1"/>
    <w:rsid w:val="002D569C"/>
    <w:rsid w:val="002F35D9"/>
    <w:rsid w:val="002F3AC0"/>
    <w:rsid w:val="0030024C"/>
    <w:rsid w:val="00303222"/>
    <w:rsid w:val="003122D0"/>
    <w:rsid w:val="00315041"/>
    <w:rsid w:val="00320D93"/>
    <w:rsid w:val="00350B5B"/>
    <w:rsid w:val="00352B14"/>
    <w:rsid w:val="0036280B"/>
    <w:rsid w:val="003677B8"/>
    <w:rsid w:val="00371008"/>
    <w:rsid w:val="003716A4"/>
    <w:rsid w:val="00385574"/>
    <w:rsid w:val="00386854"/>
    <w:rsid w:val="00387247"/>
    <w:rsid w:val="00390504"/>
    <w:rsid w:val="003910D0"/>
    <w:rsid w:val="003C1BFF"/>
    <w:rsid w:val="003C4554"/>
    <w:rsid w:val="003C76EA"/>
    <w:rsid w:val="003D638B"/>
    <w:rsid w:val="003E1CA3"/>
    <w:rsid w:val="003F29FD"/>
    <w:rsid w:val="003F70DE"/>
    <w:rsid w:val="004006E9"/>
    <w:rsid w:val="004240AA"/>
    <w:rsid w:val="00426335"/>
    <w:rsid w:val="00426BC0"/>
    <w:rsid w:val="004308BC"/>
    <w:rsid w:val="0045523B"/>
    <w:rsid w:val="00456967"/>
    <w:rsid w:val="004609DC"/>
    <w:rsid w:val="00462165"/>
    <w:rsid w:val="004624BF"/>
    <w:rsid w:val="00463A10"/>
    <w:rsid w:val="00470075"/>
    <w:rsid w:val="0047067F"/>
    <w:rsid w:val="0047135B"/>
    <w:rsid w:val="00484221"/>
    <w:rsid w:val="00486962"/>
    <w:rsid w:val="004912DC"/>
    <w:rsid w:val="00497840"/>
    <w:rsid w:val="004B787E"/>
    <w:rsid w:val="004C1927"/>
    <w:rsid w:val="004D1A15"/>
    <w:rsid w:val="004F5004"/>
    <w:rsid w:val="004F5025"/>
    <w:rsid w:val="00500825"/>
    <w:rsid w:val="00510FFC"/>
    <w:rsid w:val="005117C2"/>
    <w:rsid w:val="00511947"/>
    <w:rsid w:val="00516191"/>
    <w:rsid w:val="00521336"/>
    <w:rsid w:val="00521842"/>
    <w:rsid w:val="00523236"/>
    <w:rsid w:val="00532040"/>
    <w:rsid w:val="00532473"/>
    <w:rsid w:val="00533383"/>
    <w:rsid w:val="00536190"/>
    <w:rsid w:val="0053712F"/>
    <w:rsid w:val="00537470"/>
    <w:rsid w:val="005459DA"/>
    <w:rsid w:val="0056096D"/>
    <w:rsid w:val="0057385E"/>
    <w:rsid w:val="005933DA"/>
    <w:rsid w:val="005B19D0"/>
    <w:rsid w:val="005C15FA"/>
    <w:rsid w:val="005D7C16"/>
    <w:rsid w:val="005E3FBC"/>
    <w:rsid w:val="005F11BC"/>
    <w:rsid w:val="005F1D41"/>
    <w:rsid w:val="00604A0B"/>
    <w:rsid w:val="0062512F"/>
    <w:rsid w:val="00631103"/>
    <w:rsid w:val="00640D64"/>
    <w:rsid w:val="00671E72"/>
    <w:rsid w:val="00673035"/>
    <w:rsid w:val="00680097"/>
    <w:rsid w:val="0069140C"/>
    <w:rsid w:val="006A15B0"/>
    <w:rsid w:val="006B6BF6"/>
    <w:rsid w:val="006B7BF7"/>
    <w:rsid w:val="006C4678"/>
    <w:rsid w:val="006E4162"/>
    <w:rsid w:val="00702608"/>
    <w:rsid w:val="00713C68"/>
    <w:rsid w:val="0071490C"/>
    <w:rsid w:val="007217FA"/>
    <w:rsid w:val="00722A4F"/>
    <w:rsid w:val="00746594"/>
    <w:rsid w:val="00747586"/>
    <w:rsid w:val="00765F42"/>
    <w:rsid w:val="0079469A"/>
    <w:rsid w:val="00796A42"/>
    <w:rsid w:val="007A0E76"/>
    <w:rsid w:val="007A1C0E"/>
    <w:rsid w:val="007A776F"/>
    <w:rsid w:val="007B1CAC"/>
    <w:rsid w:val="007B6722"/>
    <w:rsid w:val="007B6AE8"/>
    <w:rsid w:val="007C6547"/>
    <w:rsid w:val="007C7861"/>
    <w:rsid w:val="007D4637"/>
    <w:rsid w:val="007E4A00"/>
    <w:rsid w:val="007F7473"/>
    <w:rsid w:val="008041C7"/>
    <w:rsid w:val="00813827"/>
    <w:rsid w:val="0081591F"/>
    <w:rsid w:val="00833572"/>
    <w:rsid w:val="008348D5"/>
    <w:rsid w:val="00864E92"/>
    <w:rsid w:val="0086535C"/>
    <w:rsid w:val="00867600"/>
    <w:rsid w:val="00875F1E"/>
    <w:rsid w:val="00882670"/>
    <w:rsid w:val="00884811"/>
    <w:rsid w:val="008971DE"/>
    <w:rsid w:val="008A2596"/>
    <w:rsid w:val="008C15B6"/>
    <w:rsid w:val="008C5868"/>
    <w:rsid w:val="008C7A9E"/>
    <w:rsid w:val="008D0640"/>
    <w:rsid w:val="008D0B19"/>
    <w:rsid w:val="008E70D8"/>
    <w:rsid w:val="008F4217"/>
    <w:rsid w:val="008F7E83"/>
    <w:rsid w:val="00901697"/>
    <w:rsid w:val="00902713"/>
    <w:rsid w:val="00906594"/>
    <w:rsid w:val="00910AEB"/>
    <w:rsid w:val="00917CC0"/>
    <w:rsid w:val="00921FA8"/>
    <w:rsid w:val="00931741"/>
    <w:rsid w:val="00941AD1"/>
    <w:rsid w:val="00944C66"/>
    <w:rsid w:val="009514DC"/>
    <w:rsid w:val="0095363F"/>
    <w:rsid w:val="0095377F"/>
    <w:rsid w:val="009571F9"/>
    <w:rsid w:val="00961B9E"/>
    <w:rsid w:val="00965738"/>
    <w:rsid w:val="009A3A42"/>
    <w:rsid w:val="009A5F31"/>
    <w:rsid w:val="009B4C35"/>
    <w:rsid w:val="009C1CB2"/>
    <w:rsid w:val="009C4631"/>
    <w:rsid w:val="009D09A6"/>
    <w:rsid w:val="009D62A3"/>
    <w:rsid w:val="009D6F4B"/>
    <w:rsid w:val="009E379A"/>
    <w:rsid w:val="009F00E0"/>
    <w:rsid w:val="009F2DA0"/>
    <w:rsid w:val="00A017C2"/>
    <w:rsid w:val="00A11C07"/>
    <w:rsid w:val="00A12AFF"/>
    <w:rsid w:val="00A2206B"/>
    <w:rsid w:val="00A259B7"/>
    <w:rsid w:val="00A3074C"/>
    <w:rsid w:val="00A35E08"/>
    <w:rsid w:val="00A46A46"/>
    <w:rsid w:val="00A53721"/>
    <w:rsid w:val="00A628A9"/>
    <w:rsid w:val="00A7396C"/>
    <w:rsid w:val="00A810B3"/>
    <w:rsid w:val="00A84A93"/>
    <w:rsid w:val="00A94D26"/>
    <w:rsid w:val="00AA432A"/>
    <w:rsid w:val="00AB00BF"/>
    <w:rsid w:val="00AB7EB8"/>
    <w:rsid w:val="00AE0CAB"/>
    <w:rsid w:val="00B05E29"/>
    <w:rsid w:val="00B25B9A"/>
    <w:rsid w:val="00B3051C"/>
    <w:rsid w:val="00B3459A"/>
    <w:rsid w:val="00B356D3"/>
    <w:rsid w:val="00B45ADA"/>
    <w:rsid w:val="00B4715E"/>
    <w:rsid w:val="00B479DF"/>
    <w:rsid w:val="00B50086"/>
    <w:rsid w:val="00B65877"/>
    <w:rsid w:val="00B65F78"/>
    <w:rsid w:val="00B72C30"/>
    <w:rsid w:val="00B77697"/>
    <w:rsid w:val="00B90EB1"/>
    <w:rsid w:val="00B92DA1"/>
    <w:rsid w:val="00BA4DCF"/>
    <w:rsid w:val="00BB79A1"/>
    <w:rsid w:val="00BC364D"/>
    <w:rsid w:val="00BC633E"/>
    <w:rsid w:val="00BD6AFD"/>
    <w:rsid w:val="00BE02FC"/>
    <w:rsid w:val="00BF216E"/>
    <w:rsid w:val="00BF27BC"/>
    <w:rsid w:val="00C00523"/>
    <w:rsid w:val="00C03F3C"/>
    <w:rsid w:val="00C11342"/>
    <w:rsid w:val="00C11744"/>
    <w:rsid w:val="00C2247B"/>
    <w:rsid w:val="00C22F7F"/>
    <w:rsid w:val="00C44F1C"/>
    <w:rsid w:val="00C6256D"/>
    <w:rsid w:val="00C77E0A"/>
    <w:rsid w:val="00C83BD1"/>
    <w:rsid w:val="00C84AA7"/>
    <w:rsid w:val="00C86662"/>
    <w:rsid w:val="00C91DBF"/>
    <w:rsid w:val="00C92F7F"/>
    <w:rsid w:val="00C936EF"/>
    <w:rsid w:val="00CD650C"/>
    <w:rsid w:val="00CD6919"/>
    <w:rsid w:val="00CD6FB3"/>
    <w:rsid w:val="00CE4D06"/>
    <w:rsid w:val="00CF3B89"/>
    <w:rsid w:val="00D07258"/>
    <w:rsid w:val="00D07CBA"/>
    <w:rsid w:val="00D14E66"/>
    <w:rsid w:val="00D17598"/>
    <w:rsid w:val="00D432F9"/>
    <w:rsid w:val="00D44504"/>
    <w:rsid w:val="00D527FF"/>
    <w:rsid w:val="00D65CBC"/>
    <w:rsid w:val="00D709B0"/>
    <w:rsid w:val="00D748E2"/>
    <w:rsid w:val="00D83B96"/>
    <w:rsid w:val="00DA210E"/>
    <w:rsid w:val="00DA516C"/>
    <w:rsid w:val="00DA5DB7"/>
    <w:rsid w:val="00DB6F15"/>
    <w:rsid w:val="00DC532B"/>
    <w:rsid w:val="00DD770C"/>
    <w:rsid w:val="00DE58BF"/>
    <w:rsid w:val="00DE6034"/>
    <w:rsid w:val="00DF0753"/>
    <w:rsid w:val="00E13C40"/>
    <w:rsid w:val="00E307B9"/>
    <w:rsid w:val="00E32E6D"/>
    <w:rsid w:val="00E34F4F"/>
    <w:rsid w:val="00E530AA"/>
    <w:rsid w:val="00E66158"/>
    <w:rsid w:val="00E92476"/>
    <w:rsid w:val="00EA2E6F"/>
    <w:rsid w:val="00EA4FFD"/>
    <w:rsid w:val="00EB39B6"/>
    <w:rsid w:val="00EE18B9"/>
    <w:rsid w:val="00EE38A3"/>
    <w:rsid w:val="00EF0220"/>
    <w:rsid w:val="00EF225B"/>
    <w:rsid w:val="00EF6951"/>
    <w:rsid w:val="00EF7484"/>
    <w:rsid w:val="00F016EC"/>
    <w:rsid w:val="00F1245A"/>
    <w:rsid w:val="00F15075"/>
    <w:rsid w:val="00F15E47"/>
    <w:rsid w:val="00F17005"/>
    <w:rsid w:val="00F25963"/>
    <w:rsid w:val="00F3033C"/>
    <w:rsid w:val="00F30B94"/>
    <w:rsid w:val="00F3136F"/>
    <w:rsid w:val="00F372BB"/>
    <w:rsid w:val="00F5315B"/>
    <w:rsid w:val="00F543B5"/>
    <w:rsid w:val="00F77282"/>
    <w:rsid w:val="00F81F0A"/>
    <w:rsid w:val="00F96C9D"/>
    <w:rsid w:val="00FA2138"/>
    <w:rsid w:val="00FA58A3"/>
    <w:rsid w:val="00FA63FB"/>
    <w:rsid w:val="00FB002D"/>
    <w:rsid w:val="00FC6C3E"/>
    <w:rsid w:val="00FD0169"/>
    <w:rsid w:val="00FD793E"/>
    <w:rsid w:val="00FF115F"/>
    <w:rsid w:val="00FF22EF"/>
    <w:rsid w:val="00FF44D5"/>
    <w:rsid w:val="00FF6A1A"/>
    <w:rsid w:val="1358CDEB"/>
    <w:rsid w:val="2717C8CF"/>
    <w:rsid w:val="50405062"/>
    <w:rsid w:val="52E84CE5"/>
    <w:rsid w:val="647331E3"/>
    <w:rsid w:val="7A16F8C6"/>
    <w:rsid w:val="7E8612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A6F41"/>
  <w15:chartTrackingRefBased/>
  <w15:docId w15:val="{49EC9DDE-CCD4-4B71-A931-0BB46D50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85E"/>
    <w:pPr>
      <w:ind w:left="720"/>
      <w:contextualSpacing/>
    </w:pPr>
  </w:style>
  <w:style w:type="paragraph" w:styleId="Header">
    <w:name w:val="header"/>
    <w:basedOn w:val="Normal"/>
    <w:link w:val="HeaderChar"/>
    <w:uiPriority w:val="99"/>
    <w:unhideWhenUsed/>
    <w:rsid w:val="00430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8BC"/>
  </w:style>
  <w:style w:type="paragraph" w:styleId="Footer">
    <w:name w:val="footer"/>
    <w:basedOn w:val="Normal"/>
    <w:link w:val="FooterChar"/>
    <w:uiPriority w:val="99"/>
    <w:unhideWhenUsed/>
    <w:rsid w:val="00430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8BC"/>
  </w:style>
  <w:style w:type="character" w:customStyle="1" w:styleId="fontstyle01">
    <w:name w:val="fontstyle01"/>
    <w:basedOn w:val="DefaultParagraphFont"/>
    <w:rsid w:val="00FC6C3E"/>
    <w:rPr>
      <w:rFonts w:ascii="TimesNewRoman" w:hAnsi="TimesNewRoman" w:hint="default"/>
      <w:b w:val="0"/>
      <w:bCs w:val="0"/>
      <w:i w:val="0"/>
      <w:iCs w:val="0"/>
      <w:color w:val="000000"/>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170877">
      <w:bodyDiv w:val="1"/>
      <w:marLeft w:val="0"/>
      <w:marRight w:val="0"/>
      <w:marTop w:val="0"/>
      <w:marBottom w:val="0"/>
      <w:divBdr>
        <w:top w:val="none" w:sz="0" w:space="0" w:color="auto"/>
        <w:left w:val="none" w:sz="0" w:space="0" w:color="auto"/>
        <w:bottom w:val="none" w:sz="0" w:space="0" w:color="auto"/>
        <w:right w:val="none" w:sz="0" w:space="0" w:color="auto"/>
      </w:divBdr>
    </w:div>
    <w:div w:id="141415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12496B5ECF774F8542B4A0E765D2AA" ma:contentTypeVersion="14" ma:contentTypeDescription="Create a new document." ma:contentTypeScope="" ma:versionID="fd96ae8df2e636e86ee2db30ada8b6fa">
  <xsd:schema xmlns:xsd="http://www.w3.org/2001/XMLSchema" xmlns:xs="http://www.w3.org/2001/XMLSchema" xmlns:p="http://schemas.microsoft.com/office/2006/metadata/properties" xmlns:ns2="33748211-900f-4db1-8b44-ae668fe34962" xmlns:ns3="985ec44e-1bab-4c0b-9df0-6ba128686fc9" xmlns:ns4="4349edbc-f3f1-4606-bba2-ade50f9f2156" targetNamespace="http://schemas.microsoft.com/office/2006/metadata/properties" ma:root="true" ma:fieldsID="1bc06b924423a0d2e043a57bb32785e9" ns2:_="" ns3:_="" ns4:_="">
    <xsd:import namespace="33748211-900f-4db1-8b44-ae668fe34962"/>
    <xsd:import namespace="985ec44e-1bab-4c0b-9df0-6ba128686fc9"/>
    <xsd:import namespace="4349edbc-f3f1-4606-bba2-ade50f9f21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48211-900f-4db1-8b44-ae668fe34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1bab6c5-9364-4fd5-b9e8-dc6a9490e824}" ma:internalName="TaxCatchAll" ma:showField="CatchAllData" ma:web="4349edbc-f3f1-4606-bba2-ade50f9f21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49edbc-f3f1-4606-bba2-ade50f9f215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3748211-900f-4db1-8b44-ae668fe349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A482C7-10E9-409D-A779-8CFE219DD1B9}">
  <ds:schemaRefs>
    <ds:schemaRef ds:uri="http://schemas.openxmlformats.org/officeDocument/2006/bibliography"/>
  </ds:schemaRefs>
</ds:datastoreItem>
</file>

<file path=customXml/itemProps2.xml><?xml version="1.0" encoding="utf-8"?>
<ds:datastoreItem xmlns:ds="http://schemas.openxmlformats.org/officeDocument/2006/customXml" ds:itemID="{E6C73FD3-4E92-4D33-BA37-F2E36DEE1CD6}">
  <ds:schemaRefs>
    <ds:schemaRef ds:uri="http://schemas.microsoft.com/sharepoint/v3/contenttype/forms"/>
  </ds:schemaRefs>
</ds:datastoreItem>
</file>

<file path=customXml/itemProps3.xml><?xml version="1.0" encoding="utf-8"?>
<ds:datastoreItem xmlns:ds="http://schemas.openxmlformats.org/officeDocument/2006/customXml" ds:itemID="{3121EE61-E7DA-41B2-B8D1-0C41E5F92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48211-900f-4db1-8b44-ae668fe34962"/>
    <ds:schemaRef ds:uri="985ec44e-1bab-4c0b-9df0-6ba128686fc9"/>
    <ds:schemaRef ds:uri="4349edbc-f3f1-4606-bba2-ade50f9f2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572E63-DA26-467B-92BA-038CE6149D15}">
  <ds:schemaRefs>
    <ds:schemaRef ds:uri="http://schemas.microsoft.com/office/2006/metadata/properties"/>
    <ds:schemaRef ds:uri="http://schemas.microsoft.com/office/infopath/2007/PartnerControls"/>
    <ds:schemaRef ds:uri="985ec44e-1bab-4c0b-9df0-6ba128686fc9"/>
    <ds:schemaRef ds:uri="33748211-900f-4db1-8b44-ae668fe34962"/>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3242</Words>
  <Characters>18480</Characters>
  <Application>Microsoft Office Word</Application>
  <DocSecurity>0</DocSecurity>
  <Lines>154</Lines>
  <Paragraphs>43</Paragraphs>
  <ScaleCrop>false</ScaleCrop>
  <Company/>
  <LinksUpToDate>false</LinksUpToDate>
  <CharactersWithSpaces>21679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Mateusz Benko</cp:lastModifiedBy>
  <cp:revision>74</cp:revision>
  <dcterms:created xsi:type="dcterms:W3CDTF">2022-09-07T16:19:00Z</dcterms:created>
  <dcterms:modified xsi:type="dcterms:W3CDTF">2022-09-24T08:05:00Z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0x0101000F12496B5ECF774F8542B4A0E765D2AA</vt:lpwstr>
  </property>
  <property fmtid="{D5CDD505-2E9C-101B-9397-08002B2CF9AE}" pid="3" name="MediaServiceImageTags">
    <vt:lpwstr/>
  </property>
</Properties>
</file>