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3383F" w14:textId="4BED7063" w:rsidR="00FB72F3" w:rsidRPr="00B844CB" w:rsidRDefault="00377CB3" w:rsidP="00BA6A4D">
      <w:pPr>
        <w:autoSpaceDE w:val="0"/>
        <w:autoSpaceDN w:val="0"/>
        <w:contextualSpacing/>
        <w:jc w:val="center"/>
        <w:rPr>
          <w:rFonts w:ascii="Roboto" w:eastAsia="Calibri" w:hAnsi="Roboto" w:cs="Calibri"/>
          <w:b/>
        </w:rPr>
      </w:pPr>
      <w:r w:rsidRPr="00377CB3">
        <w:rPr>
          <w:rFonts w:ascii="Roboto" w:eastAsia="Calibri" w:hAnsi="Roboto" w:cs="Calibri"/>
          <w:b/>
        </w:rPr>
        <w:t xml:space="preserve">Readiness Evaluation Tool for Oil Spills </w:t>
      </w:r>
      <w:r w:rsidR="00FB72F3">
        <w:rPr>
          <w:rFonts w:ascii="Roboto" w:eastAsia="Calibri" w:hAnsi="Roboto" w:cs="Calibri"/>
          <w:b/>
        </w:rPr>
        <w:t>(RETOS</w:t>
      </w:r>
      <w:r w:rsidR="00DC7C01" w:rsidRPr="009706AD">
        <w:rPr>
          <w:rFonts w:ascii="Roboto" w:eastAsia="Calibri" w:hAnsi="Roboto" w:cs="Calibri"/>
          <w:b/>
          <w:vertAlign w:val="superscript"/>
        </w:rPr>
        <w:t>TM</w:t>
      </w:r>
      <w:r w:rsidR="00FB72F3">
        <w:rPr>
          <w:rFonts w:ascii="Roboto" w:eastAsia="Calibri" w:hAnsi="Roboto" w:cs="Calibri"/>
          <w:b/>
        </w:rPr>
        <w:t xml:space="preserve">) </w:t>
      </w:r>
    </w:p>
    <w:p w14:paraId="6851BDFF" w14:textId="77777777" w:rsidR="00FB72F3" w:rsidRPr="00E132EA" w:rsidRDefault="00FB72F3" w:rsidP="00BA6A4D">
      <w:pPr>
        <w:autoSpaceDE w:val="0"/>
        <w:autoSpaceDN w:val="0"/>
        <w:contextualSpacing/>
        <w:jc w:val="center"/>
        <w:rPr>
          <w:rFonts w:ascii="Roboto" w:eastAsia="Calibri" w:hAnsi="Roboto" w:cs="Calibri"/>
          <w:b/>
        </w:rPr>
      </w:pPr>
    </w:p>
    <w:p w14:paraId="22F2DC3F" w14:textId="77777777" w:rsidR="00FB72F3" w:rsidRPr="00E132EA" w:rsidRDefault="00FB72F3" w:rsidP="00BA6A4D">
      <w:pPr>
        <w:autoSpaceDE w:val="0"/>
        <w:autoSpaceDN w:val="0"/>
        <w:ind w:left="182" w:right="254"/>
        <w:contextualSpacing/>
        <w:jc w:val="center"/>
        <w:rPr>
          <w:rFonts w:ascii="Roboto" w:eastAsia="Calibri" w:hAnsi="Roboto" w:cs="Calibri"/>
        </w:rPr>
      </w:pPr>
      <w:r w:rsidRPr="00E132EA">
        <w:rPr>
          <w:rFonts w:ascii="Roboto" w:eastAsia="Calibri" w:hAnsi="Roboto" w:cs="Calibri"/>
        </w:rPr>
        <w:t>(Note by the interim Secretariat)</w:t>
      </w:r>
    </w:p>
    <w:p w14:paraId="59F812FC" w14:textId="77777777" w:rsidR="00FB72F3" w:rsidRPr="00E132EA" w:rsidRDefault="00FB72F3" w:rsidP="00BA6A4D">
      <w:pPr>
        <w:autoSpaceDE w:val="0"/>
        <w:autoSpaceDN w:val="0"/>
        <w:contextualSpacing/>
        <w:rPr>
          <w:rFonts w:ascii="Roboto" w:eastAsia="Calibri" w:hAnsi="Roboto" w:cs="Calibri"/>
        </w:rPr>
      </w:pPr>
    </w:p>
    <w:p w14:paraId="1CFD2CEF" w14:textId="77777777" w:rsidR="00FB72F3" w:rsidRPr="00326A97" w:rsidRDefault="00FB72F3" w:rsidP="00BA6A4D">
      <w:pPr>
        <w:autoSpaceDE w:val="0"/>
        <w:autoSpaceDN w:val="0"/>
        <w:ind w:left="284"/>
        <w:contextualSpacing/>
        <w:rPr>
          <w:rFonts w:ascii="Roboto" w:eastAsia="Calibri" w:hAnsi="Roboto" w:cs="Calibri"/>
          <w:b/>
        </w:rPr>
      </w:pPr>
      <w:r w:rsidRPr="00E132EA">
        <w:rPr>
          <w:rFonts w:ascii="Roboto" w:eastAsia="Calibri" w:hAnsi="Roboto" w:cs="Calibri"/>
          <w:b/>
        </w:rPr>
        <w:t>Introduction</w:t>
      </w:r>
    </w:p>
    <w:p w14:paraId="37B18911" w14:textId="77777777" w:rsidR="00FB72F3" w:rsidRPr="00E132EA" w:rsidRDefault="00FB72F3" w:rsidP="00BA6A4D">
      <w:pPr>
        <w:autoSpaceDE w:val="0"/>
        <w:autoSpaceDN w:val="0"/>
        <w:contextualSpacing/>
        <w:rPr>
          <w:rFonts w:ascii="Roboto" w:eastAsia="Calibri" w:hAnsi="Roboto" w:cs="Calibri"/>
          <w:b/>
        </w:rPr>
      </w:pPr>
    </w:p>
    <w:p w14:paraId="7361777A" w14:textId="3332F25E" w:rsidR="00FC69C2" w:rsidRDefault="00DC6957" w:rsidP="006E4F58">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hanging="11"/>
        <w:contextualSpacing/>
        <w:rPr>
          <w:rFonts w:ascii="Roboto" w:hAnsi="Roboto"/>
        </w:rPr>
      </w:pPr>
      <w:r>
        <w:rPr>
          <w:rFonts w:ascii="Roboto" w:hAnsi="Roboto"/>
        </w:rPr>
        <w:t xml:space="preserve">During the </w:t>
      </w:r>
      <w:r w:rsidR="000F4E57" w:rsidRPr="000F4E57">
        <w:rPr>
          <w:rFonts w:ascii="Roboto" w:hAnsi="Roboto"/>
        </w:rPr>
        <w:t>Sixth Meeting of the Conference of the Parties to the Tehran Convention</w:t>
      </w:r>
      <w:r w:rsidR="000F4E57">
        <w:rPr>
          <w:rFonts w:ascii="Roboto" w:hAnsi="Roboto"/>
        </w:rPr>
        <w:t xml:space="preserve"> (</w:t>
      </w:r>
      <w:r>
        <w:rPr>
          <w:rFonts w:ascii="Roboto" w:hAnsi="Roboto"/>
        </w:rPr>
        <w:t>COP</w:t>
      </w:r>
      <w:r w:rsidR="000F4E57">
        <w:rPr>
          <w:rFonts w:ascii="Roboto" w:hAnsi="Roboto"/>
        </w:rPr>
        <w:t>6), held in Baku, Azerbaijan, on 19-21 October 2022</w:t>
      </w:r>
      <w:r w:rsidR="00F956F7">
        <w:rPr>
          <w:rFonts w:ascii="Roboto" w:hAnsi="Roboto"/>
        </w:rPr>
        <w:t>, i</w:t>
      </w:r>
      <w:r w:rsidR="00565229">
        <w:rPr>
          <w:rFonts w:ascii="Roboto" w:hAnsi="Roboto"/>
        </w:rPr>
        <w:t>t</w:t>
      </w:r>
      <w:r w:rsidR="00F956F7">
        <w:rPr>
          <w:rFonts w:ascii="Roboto" w:hAnsi="Roboto"/>
        </w:rPr>
        <w:t xml:space="preserve"> was </w:t>
      </w:r>
      <w:r w:rsidR="0015621D">
        <w:rPr>
          <w:rFonts w:ascii="Roboto" w:hAnsi="Roboto"/>
        </w:rPr>
        <w:t xml:space="preserve">noted </w:t>
      </w:r>
      <w:r w:rsidR="00F956F7">
        <w:rPr>
          <w:rFonts w:ascii="Roboto" w:hAnsi="Roboto"/>
        </w:rPr>
        <w:t>that</w:t>
      </w:r>
      <w:r w:rsidR="000F4E57">
        <w:rPr>
          <w:rFonts w:ascii="Roboto" w:hAnsi="Roboto"/>
        </w:rPr>
        <w:t xml:space="preserve"> </w:t>
      </w:r>
      <w:r w:rsidR="000F4E57" w:rsidRPr="000F4E57">
        <w:rPr>
          <w:rFonts w:ascii="Roboto" w:hAnsi="Roboto"/>
        </w:rPr>
        <w:t>in order to assist with the alignment of the National Contingency Plans</w:t>
      </w:r>
      <w:r w:rsidR="00F956F7">
        <w:rPr>
          <w:rFonts w:ascii="Roboto" w:hAnsi="Roboto"/>
        </w:rPr>
        <w:t xml:space="preserve"> </w:t>
      </w:r>
      <w:r w:rsidR="000F4E57" w:rsidRPr="000F4E57">
        <w:rPr>
          <w:rFonts w:ascii="Roboto" w:hAnsi="Roboto"/>
        </w:rPr>
        <w:t xml:space="preserve">(NCP) with the </w:t>
      </w:r>
      <w:r w:rsidR="001F2290" w:rsidRPr="001F2290">
        <w:rPr>
          <w:rFonts w:ascii="Roboto" w:hAnsi="Roboto"/>
        </w:rPr>
        <w:t>Caspian Sea Plan Concerning Regional Co-operation in Combating Oil Pollution in Cases of Emergency (</w:t>
      </w:r>
      <w:r w:rsidR="001F2290">
        <w:rPr>
          <w:rFonts w:ascii="Roboto" w:hAnsi="Roboto"/>
        </w:rPr>
        <w:t xml:space="preserve">the Aktau Protocol </w:t>
      </w:r>
      <w:r w:rsidR="000F4E57" w:rsidRPr="000F4E57">
        <w:rPr>
          <w:rFonts w:ascii="Roboto" w:hAnsi="Roboto"/>
        </w:rPr>
        <w:t>Plan</w:t>
      </w:r>
      <w:r w:rsidR="001F2290">
        <w:rPr>
          <w:rFonts w:ascii="Roboto" w:hAnsi="Roboto"/>
        </w:rPr>
        <w:t>)</w:t>
      </w:r>
      <w:r w:rsidR="000F4E57" w:rsidRPr="000F4E57">
        <w:rPr>
          <w:rFonts w:ascii="Roboto" w:hAnsi="Roboto"/>
        </w:rPr>
        <w:t xml:space="preserve">, the </w:t>
      </w:r>
      <w:r w:rsidR="0056585B" w:rsidRPr="0056585B">
        <w:rPr>
          <w:rFonts w:ascii="Roboto" w:hAnsi="Roboto"/>
        </w:rPr>
        <w:t>Oil Spill Preparedness Regional Initiative</w:t>
      </w:r>
      <w:r w:rsidR="0056585B">
        <w:rPr>
          <w:rFonts w:ascii="Roboto" w:hAnsi="Roboto"/>
        </w:rPr>
        <w:t xml:space="preserve"> (</w:t>
      </w:r>
      <w:r w:rsidR="000F4E57" w:rsidRPr="000F4E57">
        <w:rPr>
          <w:rFonts w:ascii="Roboto" w:hAnsi="Roboto"/>
        </w:rPr>
        <w:t>OSPRI</w:t>
      </w:r>
      <w:r w:rsidR="0056585B">
        <w:rPr>
          <w:rFonts w:ascii="Roboto" w:hAnsi="Roboto"/>
        </w:rPr>
        <w:t>)</w:t>
      </w:r>
      <w:r w:rsidR="000F4E57" w:rsidRPr="000F4E57">
        <w:rPr>
          <w:rFonts w:ascii="Roboto" w:hAnsi="Roboto"/>
        </w:rPr>
        <w:t xml:space="preserve"> representative proposed the use of the Readiness Evaluation Tool for</w:t>
      </w:r>
      <w:r w:rsidR="00F956F7">
        <w:rPr>
          <w:rFonts w:ascii="Roboto" w:hAnsi="Roboto"/>
        </w:rPr>
        <w:t xml:space="preserve"> </w:t>
      </w:r>
      <w:r w:rsidR="000F4E57" w:rsidRPr="000F4E57">
        <w:rPr>
          <w:rFonts w:ascii="Roboto" w:hAnsi="Roboto"/>
        </w:rPr>
        <w:t>Oil Spills (RETOS</w:t>
      </w:r>
      <w:r w:rsidR="00743785" w:rsidRPr="009706AD">
        <w:rPr>
          <w:rFonts w:ascii="Roboto" w:eastAsia="Calibri" w:hAnsi="Roboto" w:cs="Calibri"/>
          <w:b/>
          <w:vertAlign w:val="superscript"/>
        </w:rPr>
        <w:t>TM</w:t>
      </w:r>
      <w:r w:rsidR="000F4E57" w:rsidRPr="000F4E57">
        <w:rPr>
          <w:rFonts w:ascii="Roboto" w:hAnsi="Roboto"/>
        </w:rPr>
        <w:t xml:space="preserve">) for enhanced assessment of </w:t>
      </w:r>
      <w:r w:rsidR="00DC7C01">
        <w:rPr>
          <w:rFonts w:ascii="Roboto" w:hAnsi="Roboto"/>
        </w:rPr>
        <w:t>National Response Systems (including NCPs)</w:t>
      </w:r>
      <w:r w:rsidR="000F4E57" w:rsidRPr="000F4E57">
        <w:rPr>
          <w:rFonts w:ascii="Roboto" w:hAnsi="Roboto"/>
        </w:rPr>
        <w:t>. RETOS</w:t>
      </w:r>
      <w:r w:rsidR="00743785" w:rsidRPr="009706AD">
        <w:rPr>
          <w:rFonts w:ascii="Roboto" w:eastAsia="Calibri" w:hAnsi="Roboto" w:cs="Calibri"/>
          <w:b/>
          <w:vertAlign w:val="superscript"/>
        </w:rPr>
        <w:t>TM</w:t>
      </w:r>
      <w:r w:rsidR="000F4E57" w:rsidRPr="000F4E57">
        <w:rPr>
          <w:rFonts w:ascii="Roboto" w:hAnsi="Roboto"/>
        </w:rPr>
        <w:t xml:space="preserve"> is freely available</w:t>
      </w:r>
      <w:r w:rsidR="0056585B">
        <w:rPr>
          <w:rFonts w:ascii="Roboto" w:hAnsi="Roboto"/>
        </w:rPr>
        <w:t xml:space="preserve"> </w:t>
      </w:r>
      <w:r w:rsidR="000F4E57" w:rsidRPr="000F4E57">
        <w:rPr>
          <w:rFonts w:ascii="Roboto" w:hAnsi="Roboto"/>
        </w:rPr>
        <w:t xml:space="preserve">and has been widely utilized in other regions. </w:t>
      </w:r>
      <w:r w:rsidR="00C62D30">
        <w:rPr>
          <w:rFonts w:ascii="Roboto" w:hAnsi="Roboto"/>
        </w:rPr>
        <w:t xml:space="preserve">The </w:t>
      </w:r>
      <w:r w:rsidR="00C62D30" w:rsidRPr="00C62D30">
        <w:rPr>
          <w:rFonts w:ascii="Roboto" w:hAnsi="Roboto"/>
        </w:rPr>
        <w:t>International Maritime Organization</w:t>
      </w:r>
      <w:r w:rsidR="00C62D30">
        <w:rPr>
          <w:rFonts w:ascii="Roboto" w:hAnsi="Roboto"/>
        </w:rPr>
        <w:t xml:space="preserve"> (</w:t>
      </w:r>
      <w:r w:rsidR="000F4E57" w:rsidRPr="000F4E57">
        <w:rPr>
          <w:rFonts w:ascii="Roboto" w:hAnsi="Roboto"/>
        </w:rPr>
        <w:t>IMO</w:t>
      </w:r>
      <w:r w:rsidR="00C62D30">
        <w:rPr>
          <w:rFonts w:ascii="Roboto" w:hAnsi="Roboto"/>
        </w:rPr>
        <w:t>)</w:t>
      </w:r>
      <w:r w:rsidR="000F4E57" w:rsidRPr="000F4E57">
        <w:rPr>
          <w:rFonts w:ascii="Roboto" w:hAnsi="Roboto"/>
        </w:rPr>
        <w:t xml:space="preserve"> and</w:t>
      </w:r>
      <w:r w:rsidR="0056585B">
        <w:rPr>
          <w:rFonts w:ascii="Roboto" w:hAnsi="Roboto"/>
        </w:rPr>
        <w:t xml:space="preserve"> </w:t>
      </w:r>
      <w:r w:rsidR="00244E7E" w:rsidRPr="00244E7E">
        <w:rPr>
          <w:rFonts w:ascii="Roboto" w:hAnsi="Roboto"/>
        </w:rPr>
        <w:t xml:space="preserve">the </w:t>
      </w:r>
      <w:r w:rsidR="00A46F73" w:rsidRPr="00A46F73">
        <w:rPr>
          <w:rFonts w:ascii="Roboto" w:hAnsi="Roboto"/>
        </w:rPr>
        <w:t>International Petroleum Industry Environmental Conservation Association</w:t>
      </w:r>
      <w:r w:rsidR="00A46F73">
        <w:rPr>
          <w:rFonts w:ascii="Roboto" w:hAnsi="Roboto"/>
        </w:rPr>
        <w:t xml:space="preserve"> (</w:t>
      </w:r>
      <w:r w:rsidR="000F4E57" w:rsidRPr="000F4E57">
        <w:rPr>
          <w:rFonts w:ascii="Roboto" w:hAnsi="Roboto"/>
        </w:rPr>
        <w:t>IPIECA</w:t>
      </w:r>
      <w:r w:rsidR="00A46F73">
        <w:rPr>
          <w:rFonts w:ascii="Roboto" w:hAnsi="Roboto"/>
        </w:rPr>
        <w:t>)</w:t>
      </w:r>
      <w:r w:rsidR="000F4E57" w:rsidRPr="000F4E57">
        <w:rPr>
          <w:rFonts w:ascii="Roboto" w:hAnsi="Roboto"/>
        </w:rPr>
        <w:t xml:space="preserve"> </w:t>
      </w:r>
      <w:r w:rsidR="00244E7E">
        <w:rPr>
          <w:rFonts w:ascii="Roboto" w:hAnsi="Roboto"/>
        </w:rPr>
        <w:t>have been</w:t>
      </w:r>
      <w:r w:rsidR="000F4E57" w:rsidRPr="000F4E57">
        <w:rPr>
          <w:rFonts w:ascii="Roboto" w:hAnsi="Roboto"/>
        </w:rPr>
        <w:t xml:space="preserve"> supporting an up</w:t>
      </w:r>
      <w:r w:rsidR="00DC7C01">
        <w:rPr>
          <w:rFonts w:ascii="Roboto" w:hAnsi="Roboto"/>
        </w:rPr>
        <w:t>grade</w:t>
      </w:r>
      <w:r w:rsidR="000F4E57" w:rsidRPr="000F4E57">
        <w:rPr>
          <w:rFonts w:ascii="Roboto" w:hAnsi="Roboto"/>
        </w:rPr>
        <w:t xml:space="preserve"> to the tool</w:t>
      </w:r>
      <w:r w:rsidR="00DC7C01">
        <w:rPr>
          <w:rFonts w:ascii="Roboto" w:hAnsi="Roboto"/>
        </w:rPr>
        <w:t>, incorporating updates references and a new web-based, user-friendly interface for its use</w:t>
      </w:r>
      <w:r w:rsidR="000F4E57" w:rsidRPr="000F4E57">
        <w:rPr>
          <w:rFonts w:ascii="Roboto" w:hAnsi="Roboto"/>
        </w:rPr>
        <w:t>. Th</w:t>
      </w:r>
      <w:r w:rsidR="006433B9">
        <w:rPr>
          <w:rFonts w:ascii="Roboto" w:hAnsi="Roboto"/>
        </w:rPr>
        <w:t>e</w:t>
      </w:r>
      <w:r w:rsidR="0056585B">
        <w:rPr>
          <w:rFonts w:ascii="Roboto" w:hAnsi="Roboto"/>
        </w:rPr>
        <w:t xml:space="preserve"> </w:t>
      </w:r>
      <w:r w:rsidR="000F4E57" w:rsidRPr="000F4E57">
        <w:rPr>
          <w:rFonts w:ascii="Roboto" w:hAnsi="Roboto"/>
        </w:rPr>
        <w:t xml:space="preserve">update </w:t>
      </w:r>
      <w:r w:rsidR="006433B9">
        <w:rPr>
          <w:rFonts w:ascii="Roboto" w:hAnsi="Roboto"/>
        </w:rPr>
        <w:t>made</w:t>
      </w:r>
      <w:r w:rsidR="000F4E57" w:rsidRPr="000F4E57">
        <w:rPr>
          <w:rFonts w:ascii="Roboto" w:hAnsi="Roboto"/>
        </w:rPr>
        <w:t xml:space="preserve"> it easier to translate the tool into other languages (e.g. Russian)</w:t>
      </w:r>
      <w:r w:rsidR="00187536">
        <w:rPr>
          <w:rStyle w:val="FootnoteReference"/>
          <w:rFonts w:ascii="Roboto" w:hAnsi="Roboto"/>
        </w:rPr>
        <w:footnoteReference w:id="1"/>
      </w:r>
      <w:r w:rsidR="000F4E57" w:rsidRPr="000F4E57">
        <w:rPr>
          <w:rFonts w:ascii="Roboto" w:hAnsi="Roboto"/>
        </w:rPr>
        <w:t xml:space="preserve">. </w:t>
      </w:r>
      <w:r w:rsidR="00DC7C01">
        <w:rPr>
          <w:rFonts w:ascii="Roboto" w:hAnsi="Roboto"/>
        </w:rPr>
        <w:t xml:space="preserve">Translation into Russian has commenced with support from </w:t>
      </w:r>
      <w:r w:rsidR="009706AD">
        <w:rPr>
          <w:rFonts w:ascii="Roboto" w:hAnsi="Roboto"/>
        </w:rPr>
        <w:t>OSPRI,</w:t>
      </w:r>
      <w:r w:rsidR="00DC7C01">
        <w:rPr>
          <w:rFonts w:ascii="Roboto" w:hAnsi="Roboto"/>
        </w:rPr>
        <w:t xml:space="preserve"> and this is expected to be completed by early October 2024.</w:t>
      </w:r>
    </w:p>
    <w:p w14:paraId="6149F9F2" w14:textId="77777777" w:rsidR="002E4DB3" w:rsidRDefault="002E4DB3" w:rsidP="00BA6A4D">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p>
    <w:p w14:paraId="2D193A74" w14:textId="4DE5C9F9" w:rsidR="00E5109F" w:rsidRPr="00BA6A4D" w:rsidRDefault="004F7579" w:rsidP="00BA6A4D">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b/>
          <w:bCs/>
        </w:rPr>
      </w:pPr>
      <w:r>
        <w:rPr>
          <w:rFonts w:ascii="Roboto" w:hAnsi="Roboto"/>
          <w:b/>
          <w:bCs/>
        </w:rPr>
        <w:t>History of</w:t>
      </w:r>
      <w:r w:rsidR="00BA6A4D" w:rsidRPr="00BA6A4D">
        <w:rPr>
          <w:rFonts w:ascii="Roboto" w:hAnsi="Roboto"/>
          <w:b/>
          <w:bCs/>
        </w:rPr>
        <w:t xml:space="preserve"> RETOS</w:t>
      </w:r>
      <w:r w:rsidR="00743785" w:rsidRPr="009706AD">
        <w:rPr>
          <w:rFonts w:ascii="Roboto" w:eastAsia="Calibri" w:hAnsi="Roboto" w:cs="Calibri"/>
          <w:b/>
          <w:vertAlign w:val="superscript"/>
        </w:rPr>
        <w:t>TM</w:t>
      </w:r>
    </w:p>
    <w:p w14:paraId="6B541564" w14:textId="77777777" w:rsidR="00BA6A4D" w:rsidRDefault="00BA6A4D" w:rsidP="00BA6A4D">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p>
    <w:p w14:paraId="44A7166E" w14:textId="4B92FE1E" w:rsidR="009107D6" w:rsidRPr="009107D6" w:rsidRDefault="009107D6" w:rsidP="009107D6">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r w:rsidRPr="009107D6">
        <w:rPr>
          <w:rFonts w:ascii="Roboto" w:hAnsi="Roboto"/>
        </w:rPr>
        <w:t>The RETOS</w:t>
      </w:r>
      <w:r w:rsidR="00743785" w:rsidRPr="009706AD">
        <w:rPr>
          <w:rFonts w:ascii="Roboto" w:eastAsia="Calibri" w:hAnsi="Roboto" w:cs="Calibri"/>
          <w:b/>
          <w:vertAlign w:val="superscript"/>
        </w:rPr>
        <w:t>TM</w:t>
      </w:r>
      <w:r w:rsidRPr="009107D6">
        <w:rPr>
          <w:rFonts w:ascii="Roboto" w:hAnsi="Roboto"/>
        </w:rPr>
        <w:t xml:space="preserve"> tool was developed by the Regional Association of Oil, Gas, and Biofuels Sector Companies in Latin America and the Caribbean (ARPEL) to enhance the region's preparedness and response to oil spills. ARPEL, founded in 1965, is an organization dedicated to promoting best practices and sustainable development within the energy sector. The development of RETOS emerged from the</w:t>
      </w:r>
      <w:r w:rsidR="00DC7C01">
        <w:rPr>
          <w:rFonts w:ascii="Roboto" w:hAnsi="Roboto"/>
        </w:rPr>
        <w:t xml:space="preserve"> 2008 International Oil Spill Conference, in</w:t>
      </w:r>
      <w:r w:rsidRPr="009107D6">
        <w:rPr>
          <w:rFonts w:ascii="Roboto" w:hAnsi="Roboto"/>
        </w:rPr>
        <w:t xml:space="preserve"> recognition of the need for a comprehensive, systematic approach to assessing and improving oil spill response capabilities.</w:t>
      </w:r>
    </w:p>
    <w:p w14:paraId="59145C31" w14:textId="77777777" w:rsidR="009107D6" w:rsidRPr="009107D6" w:rsidRDefault="009107D6" w:rsidP="009107D6">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p>
    <w:p w14:paraId="20DF1427" w14:textId="6D19618C" w:rsidR="00BA6A4D" w:rsidRDefault="009107D6" w:rsidP="009107D6">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r w:rsidRPr="009107D6">
        <w:rPr>
          <w:rFonts w:ascii="Roboto" w:hAnsi="Roboto"/>
        </w:rPr>
        <w:t>The elaboration of RETOS</w:t>
      </w:r>
      <w:r w:rsidR="00743785" w:rsidRPr="009706AD">
        <w:rPr>
          <w:rFonts w:ascii="Roboto" w:eastAsia="Calibri" w:hAnsi="Roboto" w:cs="Calibri"/>
          <w:b/>
          <w:vertAlign w:val="superscript"/>
        </w:rPr>
        <w:t>TM</w:t>
      </w:r>
      <w:r w:rsidRPr="009107D6">
        <w:rPr>
          <w:rFonts w:ascii="Roboto" w:hAnsi="Roboto"/>
        </w:rPr>
        <w:t xml:space="preserve"> began as part of ARPEL's broader initiative to bolster environmental protection measures in the oil and gas industry. The tool was designed to evaluate readiness, facilitate environmental training, and provide operational support, addressing the critical components necessary for effective spill response</w:t>
      </w:r>
      <w:r w:rsidR="00ED11E5">
        <w:rPr>
          <w:rStyle w:val="FootnoteReference"/>
          <w:rFonts w:ascii="Roboto" w:hAnsi="Roboto"/>
        </w:rPr>
        <w:footnoteReference w:id="2"/>
      </w:r>
      <w:r w:rsidRPr="009107D6">
        <w:rPr>
          <w:rFonts w:ascii="Roboto" w:hAnsi="Roboto"/>
        </w:rPr>
        <w:t>. Over time, RETOS</w:t>
      </w:r>
      <w:r w:rsidR="00743785" w:rsidRPr="009706AD">
        <w:rPr>
          <w:rFonts w:ascii="Roboto" w:eastAsia="Calibri" w:hAnsi="Roboto" w:cs="Calibri"/>
          <w:b/>
          <w:vertAlign w:val="superscript"/>
        </w:rPr>
        <w:t>TM</w:t>
      </w:r>
      <w:r w:rsidRPr="009107D6">
        <w:rPr>
          <w:rFonts w:ascii="Roboto" w:hAnsi="Roboto"/>
        </w:rPr>
        <w:t xml:space="preserve"> has evolved through collaboration with industry experts, environmental organizations, and government agencies. Its iterative development process incorporated feedback and lessons learned from real-world incidents, ensuring that it remained relevant and effective. Today, RETOS</w:t>
      </w:r>
      <w:r w:rsidR="00743785" w:rsidRPr="00743785">
        <w:rPr>
          <w:rFonts w:ascii="Roboto" w:hAnsi="Roboto"/>
          <w:b/>
          <w:vertAlign w:val="superscript"/>
        </w:rPr>
        <w:t>TM</w:t>
      </w:r>
      <w:r w:rsidRPr="009107D6">
        <w:rPr>
          <w:rFonts w:ascii="Roboto" w:hAnsi="Roboto"/>
        </w:rPr>
        <w:t xml:space="preserve"> is widely regarded as a valuable resource, helping organizations to enhance their response strategies and minimize the environmental impact of oil spills.</w:t>
      </w:r>
      <w:r w:rsidR="00ED11E5">
        <w:rPr>
          <w:rFonts w:ascii="Roboto" w:hAnsi="Roboto"/>
        </w:rPr>
        <w:t xml:space="preserve"> The latest updated web-based version of the tool</w:t>
      </w:r>
      <w:r w:rsidR="00ED11E5">
        <w:rPr>
          <w:rStyle w:val="FootnoteReference"/>
          <w:rFonts w:ascii="Roboto" w:hAnsi="Roboto"/>
        </w:rPr>
        <w:footnoteReference w:id="3"/>
      </w:r>
      <w:r w:rsidR="00ED11E5">
        <w:rPr>
          <w:rFonts w:ascii="Roboto" w:hAnsi="Roboto"/>
        </w:rPr>
        <w:t xml:space="preserve"> was developed by an expert group with financial support from both IMO and I</w:t>
      </w:r>
      <w:r w:rsidR="00743785">
        <w:rPr>
          <w:rFonts w:ascii="Roboto" w:hAnsi="Roboto"/>
        </w:rPr>
        <w:t>PIECA</w:t>
      </w:r>
      <w:r w:rsidR="00ED11E5">
        <w:rPr>
          <w:rFonts w:ascii="Roboto" w:hAnsi="Roboto"/>
        </w:rPr>
        <w:t>.</w:t>
      </w:r>
    </w:p>
    <w:p w14:paraId="5AAB0222" w14:textId="77777777" w:rsidR="00244E7E" w:rsidRDefault="00244E7E" w:rsidP="00BA6A4D">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Roboto" w:hAnsi="Roboto"/>
        </w:rPr>
      </w:pPr>
    </w:p>
    <w:p w14:paraId="0B856B7B" w14:textId="1824EF43" w:rsidR="00244E7E" w:rsidRPr="00A51267" w:rsidRDefault="00A51267"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b/>
          <w:bCs/>
        </w:rPr>
      </w:pPr>
      <w:r w:rsidRPr="00A51267">
        <w:rPr>
          <w:rFonts w:ascii="Roboto" w:hAnsi="Roboto"/>
          <w:b/>
          <w:bCs/>
        </w:rPr>
        <w:lastRenderedPageBreak/>
        <w:t>What is RETOS</w:t>
      </w:r>
      <w:r w:rsidR="00743785" w:rsidRPr="009706AD">
        <w:rPr>
          <w:rFonts w:ascii="Roboto" w:eastAsia="Calibri" w:hAnsi="Roboto" w:cs="Calibri"/>
          <w:b/>
          <w:vertAlign w:val="superscript"/>
        </w:rPr>
        <w:t>TM</w:t>
      </w:r>
      <w:r w:rsidRPr="00A51267">
        <w:rPr>
          <w:rFonts w:ascii="Roboto" w:hAnsi="Roboto"/>
          <w:b/>
          <w:bCs/>
        </w:rPr>
        <w:t>?</w:t>
      </w:r>
    </w:p>
    <w:p w14:paraId="5CC365A2" w14:textId="77777777" w:rsidR="00A51267" w:rsidRDefault="00A51267"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p>
    <w:p w14:paraId="6EAC8A75" w14:textId="01BBC022" w:rsidR="00A51267" w:rsidRDefault="007A218A"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r w:rsidRPr="007A218A">
        <w:rPr>
          <w:rFonts w:ascii="Roboto" w:hAnsi="Roboto"/>
        </w:rPr>
        <w:t>The International Guide</w:t>
      </w:r>
      <w:r w:rsidR="003D1978">
        <w:rPr>
          <w:rStyle w:val="FootnoteReference"/>
          <w:rFonts w:ascii="Roboto" w:hAnsi="Roboto"/>
        </w:rPr>
        <w:footnoteReference w:id="4"/>
      </w:r>
      <w:r w:rsidRPr="007A218A">
        <w:rPr>
          <w:rFonts w:ascii="Roboto" w:hAnsi="Roboto"/>
        </w:rPr>
        <w:t xml:space="preserve"> and </w:t>
      </w:r>
      <w:r w:rsidR="003D1978">
        <w:rPr>
          <w:rFonts w:ascii="Roboto" w:hAnsi="Roboto"/>
        </w:rPr>
        <w:t>t</w:t>
      </w:r>
      <w:r w:rsidRPr="007A218A">
        <w:rPr>
          <w:rFonts w:ascii="Roboto" w:hAnsi="Roboto"/>
        </w:rPr>
        <w:t>he RETOS™ Oil Spill Response Planning and Readiness Assessment Manual V 3.0</w:t>
      </w:r>
      <w:r w:rsidR="003D1978">
        <w:rPr>
          <w:rStyle w:val="FootnoteReference"/>
          <w:rFonts w:ascii="Roboto" w:hAnsi="Roboto"/>
        </w:rPr>
        <w:footnoteReference w:id="5"/>
      </w:r>
      <w:r w:rsidR="00252B63">
        <w:rPr>
          <w:rFonts w:ascii="Roboto" w:hAnsi="Roboto"/>
        </w:rPr>
        <w:t xml:space="preserve"> w</w:t>
      </w:r>
      <w:r w:rsidR="003D1978">
        <w:rPr>
          <w:rFonts w:ascii="Roboto" w:hAnsi="Roboto"/>
        </w:rPr>
        <w:t>ere</w:t>
      </w:r>
      <w:r w:rsidR="00252B63">
        <w:rPr>
          <w:rFonts w:ascii="Roboto" w:hAnsi="Roboto"/>
        </w:rPr>
        <w:t xml:space="preserve"> launched on 8-9 July 2024. </w:t>
      </w:r>
      <w:r w:rsidR="00EB0C87" w:rsidRPr="00EB0C87">
        <w:rPr>
          <w:rFonts w:ascii="Roboto" w:hAnsi="Roboto"/>
        </w:rPr>
        <w:t xml:space="preserve">This tool </w:t>
      </w:r>
      <w:r w:rsidR="00ED11E5">
        <w:rPr>
          <w:rFonts w:ascii="Roboto" w:hAnsi="Roboto"/>
        </w:rPr>
        <w:t>incorporates</w:t>
      </w:r>
      <w:r w:rsidR="00ED11E5" w:rsidRPr="00EB0C87">
        <w:rPr>
          <w:rFonts w:ascii="Roboto" w:hAnsi="Roboto"/>
        </w:rPr>
        <w:t xml:space="preserve"> </w:t>
      </w:r>
      <w:r w:rsidR="00EB0C87" w:rsidRPr="00EB0C87">
        <w:rPr>
          <w:rFonts w:ascii="Roboto" w:hAnsi="Roboto"/>
        </w:rPr>
        <w:t xml:space="preserve">international best practices to provide a comprehensive approach to </w:t>
      </w:r>
      <w:r w:rsidR="00ED11E5">
        <w:rPr>
          <w:rFonts w:ascii="Roboto" w:hAnsi="Roboto"/>
        </w:rPr>
        <w:t xml:space="preserve">evaluation or assessment of </w:t>
      </w:r>
      <w:r w:rsidR="00EB0C87" w:rsidRPr="00EB0C87">
        <w:rPr>
          <w:rFonts w:ascii="Roboto" w:hAnsi="Roboto"/>
        </w:rPr>
        <w:t>oil spill preparedness and response.</w:t>
      </w:r>
      <w:r w:rsidR="004D74F5">
        <w:rPr>
          <w:rFonts w:ascii="Roboto" w:hAnsi="Roboto"/>
        </w:rPr>
        <w:t xml:space="preserve"> </w:t>
      </w:r>
      <w:r w:rsidR="004D74F5" w:rsidRPr="004D74F5">
        <w:rPr>
          <w:rFonts w:ascii="Roboto" w:hAnsi="Roboto"/>
        </w:rPr>
        <w:t>The RETOS</w:t>
      </w:r>
      <w:r w:rsidR="00480E34" w:rsidRPr="009706AD">
        <w:rPr>
          <w:rFonts w:ascii="Roboto" w:eastAsia="Calibri" w:hAnsi="Roboto" w:cs="Calibri"/>
          <w:b/>
          <w:vertAlign w:val="superscript"/>
        </w:rPr>
        <w:t>TM</w:t>
      </w:r>
      <w:r w:rsidR="004D74F5" w:rsidRPr="004D74F5">
        <w:rPr>
          <w:rFonts w:ascii="Roboto" w:hAnsi="Roboto"/>
        </w:rPr>
        <w:t xml:space="preserve"> tool is organized into several key modules, each designed to address critical aspects of oil spill response. These modules cover areas such as </w:t>
      </w:r>
      <w:r w:rsidR="00417993" w:rsidRPr="00417993">
        <w:rPr>
          <w:rFonts w:ascii="Roboto" w:hAnsi="Roboto"/>
        </w:rPr>
        <w:t>Oil Spill Contingency Planning</w:t>
      </w:r>
      <w:r w:rsidR="004D74F5" w:rsidRPr="004D74F5">
        <w:rPr>
          <w:rFonts w:ascii="Roboto" w:hAnsi="Roboto"/>
        </w:rPr>
        <w:t xml:space="preserve">, </w:t>
      </w:r>
      <w:r w:rsidR="00E62CD4" w:rsidRPr="00E62CD4">
        <w:rPr>
          <w:rFonts w:ascii="Roboto" w:hAnsi="Roboto"/>
        </w:rPr>
        <w:t>Response Coordination</w:t>
      </w:r>
      <w:r w:rsidR="004D74F5" w:rsidRPr="004D74F5">
        <w:rPr>
          <w:rFonts w:ascii="Roboto" w:hAnsi="Roboto"/>
        </w:rPr>
        <w:t xml:space="preserve">, </w:t>
      </w:r>
      <w:r w:rsidR="00E62CD4" w:rsidRPr="00E62CD4">
        <w:rPr>
          <w:rFonts w:ascii="Roboto" w:hAnsi="Roboto"/>
        </w:rPr>
        <w:t>Operational Response</w:t>
      </w:r>
      <w:r w:rsidR="004D74F5" w:rsidRPr="004D74F5">
        <w:rPr>
          <w:rFonts w:ascii="Roboto" w:hAnsi="Roboto"/>
        </w:rPr>
        <w:t xml:space="preserve">, and </w:t>
      </w:r>
      <w:r w:rsidR="00E62CD4">
        <w:rPr>
          <w:rFonts w:ascii="Roboto" w:hAnsi="Roboto"/>
        </w:rPr>
        <w:t>others</w:t>
      </w:r>
      <w:r w:rsidR="004D74F5" w:rsidRPr="004D74F5">
        <w:rPr>
          <w:rFonts w:ascii="Roboto" w:hAnsi="Roboto"/>
        </w:rPr>
        <w:t xml:space="preserve">. The International Guide provides a foundational framework that ensures the tool aligns with global </w:t>
      </w:r>
      <w:r w:rsidR="00ED11E5">
        <w:rPr>
          <w:rFonts w:ascii="Roboto" w:hAnsi="Roboto"/>
        </w:rPr>
        <w:t>good practice</w:t>
      </w:r>
      <w:r w:rsidR="004D74F5" w:rsidRPr="004D74F5">
        <w:rPr>
          <w:rFonts w:ascii="Roboto" w:hAnsi="Roboto"/>
        </w:rPr>
        <w:t>, while the RETOS Manual V 3.0 offers detailed, step-by-step instructions for implementing the tool's components. Together, they create a cohesive system that helps organizations systematically assess and improve their preparedness levels.</w:t>
      </w:r>
    </w:p>
    <w:p w14:paraId="62C88367" w14:textId="77777777" w:rsidR="00E62CD4" w:rsidRDefault="00E62CD4"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p>
    <w:p w14:paraId="7F3EB447" w14:textId="747C1E67" w:rsidR="00E62CD4" w:rsidRDefault="003F2E3E"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r w:rsidRPr="003F2E3E">
        <w:rPr>
          <w:rFonts w:ascii="Roboto" w:hAnsi="Roboto"/>
        </w:rPr>
        <w:t>Central to RETOS</w:t>
      </w:r>
      <w:r w:rsidR="00480E34" w:rsidRPr="009706AD">
        <w:rPr>
          <w:rFonts w:ascii="Roboto" w:eastAsia="Calibri" w:hAnsi="Roboto" w:cs="Calibri"/>
          <w:b/>
          <w:vertAlign w:val="superscript"/>
        </w:rPr>
        <w:t>TM</w:t>
      </w:r>
      <w:r w:rsidRPr="003F2E3E">
        <w:rPr>
          <w:rFonts w:ascii="Roboto" w:hAnsi="Roboto"/>
        </w:rPr>
        <w:t xml:space="preserve"> is its </w:t>
      </w:r>
      <w:r w:rsidR="00703D1B">
        <w:rPr>
          <w:rFonts w:ascii="Roboto" w:hAnsi="Roboto"/>
        </w:rPr>
        <w:t>solid</w:t>
      </w:r>
      <w:r w:rsidRPr="003F2E3E">
        <w:rPr>
          <w:rFonts w:ascii="Roboto" w:hAnsi="Roboto"/>
        </w:rPr>
        <w:t xml:space="preserve"> assessment methodology, which is designed to evaluate an organization's readiness across multiple dimensions. The</w:t>
      </w:r>
      <w:r w:rsidR="006235AB">
        <w:rPr>
          <w:rFonts w:ascii="Roboto" w:hAnsi="Roboto"/>
        </w:rPr>
        <w:t xml:space="preserve"> proposed self-a</w:t>
      </w:r>
      <w:r w:rsidRPr="003F2E3E">
        <w:rPr>
          <w:rFonts w:ascii="Roboto" w:hAnsi="Roboto"/>
        </w:rPr>
        <w:t xml:space="preserve">ssessments are benchmarked against international </w:t>
      </w:r>
      <w:r w:rsidR="00ED11E5">
        <w:rPr>
          <w:rFonts w:ascii="Roboto" w:hAnsi="Roboto"/>
        </w:rPr>
        <w:t>approaches</w:t>
      </w:r>
      <w:r w:rsidRPr="003F2E3E">
        <w:rPr>
          <w:rFonts w:ascii="Roboto" w:hAnsi="Roboto"/>
        </w:rPr>
        <w:t>, providing organizations with a clear picture of their strengths and areas for improvement. The RETOS Manual V 3.0 elaborates on this process, offering detailed guidance on conducting assessments, interpreting results, and developing actionable improvement plans.</w:t>
      </w:r>
    </w:p>
    <w:p w14:paraId="0626AEAF" w14:textId="77777777" w:rsidR="00E80783" w:rsidRDefault="00E80783"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p>
    <w:p w14:paraId="73E4FF03" w14:textId="5FBCC825" w:rsidR="00E80783" w:rsidRDefault="00355FF8"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r w:rsidRPr="00355FF8">
        <w:rPr>
          <w:rFonts w:ascii="Roboto" w:hAnsi="Roboto"/>
        </w:rPr>
        <w:t>The RETOS</w:t>
      </w:r>
      <w:r w:rsidR="00480E34" w:rsidRPr="009706AD">
        <w:rPr>
          <w:rFonts w:ascii="Roboto" w:eastAsia="Calibri" w:hAnsi="Roboto" w:cs="Calibri"/>
          <w:b/>
          <w:vertAlign w:val="superscript"/>
        </w:rPr>
        <w:t>TM</w:t>
      </w:r>
      <w:r w:rsidRPr="00355FF8">
        <w:rPr>
          <w:rFonts w:ascii="Roboto" w:hAnsi="Roboto"/>
        </w:rPr>
        <w:t xml:space="preserve"> tool emphasizes the importance of training and capacity building, recognizing that effective oil spill response relies on well-prepared personnel.</w:t>
      </w:r>
      <w:r>
        <w:rPr>
          <w:rFonts w:ascii="Roboto" w:hAnsi="Roboto"/>
        </w:rPr>
        <w:t xml:space="preserve"> </w:t>
      </w:r>
      <w:r w:rsidR="00407EF7" w:rsidRPr="00407EF7">
        <w:rPr>
          <w:rFonts w:ascii="Roboto" w:hAnsi="Roboto"/>
        </w:rPr>
        <w:t>Operational support is another critical component of the RETOS</w:t>
      </w:r>
      <w:r w:rsidR="00480E34" w:rsidRPr="009706AD">
        <w:rPr>
          <w:rFonts w:ascii="Roboto" w:eastAsia="Calibri" w:hAnsi="Roboto" w:cs="Calibri"/>
          <w:b/>
          <w:vertAlign w:val="superscript"/>
        </w:rPr>
        <w:t>TM</w:t>
      </w:r>
      <w:r w:rsidR="00407EF7" w:rsidRPr="00407EF7">
        <w:rPr>
          <w:rFonts w:ascii="Roboto" w:hAnsi="Roboto"/>
        </w:rPr>
        <w:t xml:space="preserve"> tool.</w:t>
      </w:r>
      <w:r w:rsidR="00407EF7">
        <w:rPr>
          <w:rFonts w:ascii="Roboto" w:hAnsi="Roboto"/>
        </w:rPr>
        <w:t xml:space="preserve"> </w:t>
      </w:r>
      <w:r w:rsidR="001F53FE" w:rsidRPr="001F53FE">
        <w:rPr>
          <w:rFonts w:ascii="Roboto" w:hAnsi="Roboto"/>
        </w:rPr>
        <w:t>Additionally, RETOS</w:t>
      </w:r>
      <w:r w:rsidR="00480E34" w:rsidRPr="009706AD">
        <w:rPr>
          <w:rFonts w:ascii="Roboto" w:eastAsia="Calibri" w:hAnsi="Roboto" w:cs="Calibri"/>
          <w:b/>
          <w:vertAlign w:val="superscript"/>
        </w:rPr>
        <w:t>TM</w:t>
      </w:r>
      <w:r w:rsidR="001F53FE" w:rsidRPr="001F53FE">
        <w:rPr>
          <w:rFonts w:ascii="Roboto" w:hAnsi="Roboto"/>
        </w:rPr>
        <w:t xml:space="preserve"> fosters a culture of continuous improvement by encouraging organizations to regularly review and update their </w:t>
      </w:r>
      <w:r w:rsidR="00ED11E5">
        <w:rPr>
          <w:rFonts w:ascii="Roboto" w:hAnsi="Roboto"/>
        </w:rPr>
        <w:t xml:space="preserve">contingency </w:t>
      </w:r>
      <w:r w:rsidR="001F53FE" w:rsidRPr="001F53FE">
        <w:rPr>
          <w:rFonts w:ascii="Roboto" w:hAnsi="Roboto"/>
        </w:rPr>
        <w:t>plans</w:t>
      </w:r>
      <w:r w:rsidR="00ED11E5">
        <w:rPr>
          <w:rFonts w:ascii="Roboto" w:hAnsi="Roboto"/>
        </w:rPr>
        <w:t xml:space="preserve"> and response capability</w:t>
      </w:r>
      <w:r w:rsidR="001F53FE" w:rsidRPr="001F53FE">
        <w:rPr>
          <w:rFonts w:ascii="Roboto" w:hAnsi="Roboto"/>
        </w:rPr>
        <w:t xml:space="preserve"> based on lessons learned from exercises and real-world incidents. This iterative approach ensures that response strategies remain dynamic and responsive to changing conditions.</w:t>
      </w:r>
    </w:p>
    <w:p w14:paraId="73DF44FD" w14:textId="77777777" w:rsidR="001F53FE" w:rsidRDefault="001F53FE"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p>
    <w:p w14:paraId="1268A2C7" w14:textId="2F869E88" w:rsidR="001F53FE" w:rsidRDefault="00AA6C93" w:rsidP="003D1978">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r w:rsidRPr="00AA6C93">
        <w:rPr>
          <w:rFonts w:ascii="Roboto" w:hAnsi="Roboto"/>
        </w:rPr>
        <w:t>One of the strengths of the RETOS</w:t>
      </w:r>
      <w:r w:rsidR="00480E34" w:rsidRPr="009706AD">
        <w:rPr>
          <w:rFonts w:ascii="Roboto" w:eastAsia="Calibri" w:hAnsi="Roboto" w:cs="Calibri"/>
          <w:b/>
          <w:vertAlign w:val="superscript"/>
        </w:rPr>
        <w:t>TM</w:t>
      </w:r>
      <w:r w:rsidRPr="00AA6C93">
        <w:rPr>
          <w:rFonts w:ascii="Roboto" w:hAnsi="Roboto"/>
        </w:rPr>
        <w:t xml:space="preserve"> tool is its flexibility and adaptability. Both the International Guide and the RETOS Manual V 3.0 highlight the importance of customizing the tool to meet the specific needs and regulatory requirements of different organizations and regions.</w:t>
      </w:r>
      <w:r w:rsidR="00101675" w:rsidRPr="00101675">
        <w:t xml:space="preserve"> </w:t>
      </w:r>
      <w:r w:rsidR="00101675" w:rsidRPr="00101675">
        <w:rPr>
          <w:rFonts w:ascii="Roboto" w:hAnsi="Roboto"/>
        </w:rPr>
        <w:t>By allowing for regional adaptations and incorporating user feedback, RETOS</w:t>
      </w:r>
      <w:r w:rsidR="00480E34" w:rsidRPr="009706AD">
        <w:rPr>
          <w:rFonts w:ascii="Roboto" w:eastAsia="Calibri" w:hAnsi="Roboto" w:cs="Calibri"/>
          <w:b/>
          <w:vertAlign w:val="superscript"/>
        </w:rPr>
        <w:t>TM</w:t>
      </w:r>
      <w:r w:rsidR="00101675" w:rsidRPr="00101675">
        <w:rPr>
          <w:rFonts w:ascii="Roboto" w:hAnsi="Roboto"/>
        </w:rPr>
        <w:t xml:space="preserve"> maintains its applicability and utility in diverse contexts.</w:t>
      </w:r>
      <w:r w:rsidR="00ED11E5">
        <w:rPr>
          <w:rFonts w:ascii="Roboto" w:hAnsi="Roboto"/>
        </w:rPr>
        <w:t xml:space="preserve"> At its heart RETOS</w:t>
      </w:r>
      <w:r w:rsidR="00480E34" w:rsidRPr="009706AD">
        <w:rPr>
          <w:rFonts w:ascii="Roboto" w:eastAsia="Calibri" w:hAnsi="Roboto" w:cs="Calibri"/>
          <w:b/>
          <w:vertAlign w:val="superscript"/>
        </w:rPr>
        <w:t>TM</w:t>
      </w:r>
      <w:r w:rsidR="00ED11E5">
        <w:rPr>
          <w:rFonts w:ascii="Roboto" w:hAnsi="Roboto"/>
        </w:rPr>
        <w:t xml:space="preserve"> is a robust </w:t>
      </w:r>
      <w:r w:rsidR="003D1978">
        <w:rPr>
          <w:rFonts w:ascii="Roboto" w:hAnsi="Roboto"/>
        </w:rPr>
        <w:t>questionnaire-based methodology</w:t>
      </w:r>
      <w:r w:rsidR="00ED11E5">
        <w:rPr>
          <w:rFonts w:ascii="Roboto" w:hAnsi="Roboto"/>
        </w:rPr>
        <w:t xml:space="preserve"> that enables </w:t>
      </w:r>
      <w:r w:rsidR="003D1978">
        <w:rPr>
          <w:rFonts w:ascii="Roboto" w:hAnsi="Roboto"/>
        </w:rPr>
        <w:t xml:space="preserve">responsible </w:t>
      </w:r>
      <w:r w:rsidR="00ED11E5">
        <w:rPr>
          <w:rFonts w:ascii="Roboto" w:hAnsi="Roboto"/>
        </w:rPr>
        <w:t>organization</w:t>
      </w:r>
      <w:r w:rsidR="003D1978">
        <w:rPr>
          <w:rFonts w:ascii="Roboto" w:hAnsi="Roboto"/>
        </w:rPr>
        <w:t>s</w:t>
      </w:r>
      <w:r w:rsidR="00ED11E5">
        <w:rPr>
          <w:rFonts w:ascii="Roboto" w:hAnsi="Roboto"/>
        </w:rPr>
        <w:t xml:space="preserve"> and stakeholders to assess preparedness and identify areas where improvements might be considered.</w:t>
      </w:r>
    </w:p>
    <w:p w14:paraId="79B232AA" w14:textId="77777777" w:rsidR="00101675" w:rsidRDefault="00101675"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p>
    <w:p w14:paraId="18708C05" w14:textId="77777777" w:rsidR="00101675" w:rsidRPr="000B7A93" w:rsidRDefault="00101675" w:rsidP="00A51267">
      <w:pPr>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contextualSpacing/>
        <w:rPr>
          <w:rFonts w:ascii="Roboto" w:hAnsi="Roboto"/>
        </w:rPr>
      </w:pPr>
    </w:p>
    <w:sectPr w:rsidR="00101675" w:rsidRPr="000B7A9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B85E" w14:textId="77777777" w:rsidR="00E64D15" w:rsidRDefault="00E64D15" w:rsidP="002C77FC">
      <w:r>
        <w:separator/>
      </w:r>
    </w:p>
  </w:endnote>
  <w:endnote w:type="continuationSeparator" w:id="0">
    <w:p w14:paraId="16A8FC21" w14:textId="77777777" w:rsidR="00E64D15" w:rsidRDefault="00E64D15" w:rsidP="002C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1CB74" w14:textId="77777777" w:rsidR="00E64D15" w:rsidRDefault="00E64D15" w:rsidP="002C77FC">
      <w:r>
        <w:separator/>
      </w:r>
    </w:p>
  </w:footnote>
  <w:footnote w:type="continuationSeparator" w:id="0">
    <w:p w14:paraId="54AD97EE" w14:textId="77777777" w:rsidR="00E64D15" w:rsidRDefault="00E64D15" w:rsidP="002C77FC">
      <w:r>
        <w:continuationSeparator/>
      </w:r>
    </w:p>
  </w:footnote>
  <w:footnote w:id="1">
    <w:p w14:paraId="7D13A638" w14:textId="4F240167" w:rsidR="00187536" w:rsidRPr="00187536" w:rsidRDefault="00187536">
      <w:pPr>
        <w:pStyle w:val="FootnoteText"/>
        <w:rPr>
          <w:rFonts w:ascii="Roboto" w:hAnsi="Roboto"/>
          <w:sz w:val="18"/>
          <w:szCs w:val="18"/>
        </w:rPr>
      </w:pPr>
      <w:r w:rsidRPr="00187536">
        <w:rPr>
          <w:rStyle w:val="FootnoteReference"/>
          <w:rFonts w:ascii="Roboto" w:hAnsi="Roboto"/>
          <w:sz w:val="18"/>
          <w:szCs w:val="18"/>
        </w:rPr>
        <w:footnoteRef/>
      </w:r>
      <w:r w:rsidRPr="00187536">
        <w:rPr>
          <w:rFonts w:ascii="Roboto" w:hAnsi="Roboto"/>
          <w:sz w:val="18"/>
          <w:szCs w:val="18"/>
        </w:rPr>
        <w:t xml:space="preserve"> Document TC/COP6/17rev. </w:t>
      </w:r>
    </w:p>
  </w:footnote>
  <w:footnote w:id="2">
    <w:p w14:paraId="22312EFC" w14:textId="12A44BF0" w:rsidR="00ED11E5" w:rsidRDefault="00ED11E5">
      <w:pPr>
        <w:pStyle w:val="FootnoteText"/>
      </w:pPr>
      <w:r>
        <w:rPr>
          <w:rStyle w:val="FootnoteReference"/>
        </w:rPr>
        <w:footnoteRef/>
      </w:r>
      <w:r>
        <w:t xml:space="preserve"> </w:t>
      </w:r>
      <w:r w:rsidRPr="009706AD">
        <w:rPr>
          <w:rFonts w:ascii="Roboto" w:hAnsi="Roboto"/>
          <w:sz w:val="18"/>
          <w:szCs w:val="18"/>
        </w:rPr>
        <w:t xml:space="preserve">For more detail see: </w:t>
      </w:r>
      <w:hyperlink r:id="rId1" w:history="1">
        <w:r w:rsidRPr="009706AD">
          <w:rPr>
            <w:rStyle w:val="Hyperlink"/>
            <w:rFonts w:ascii="Roboto" w:hAnsi="Roboto"/>
            <w:sz w:val="18"/>
            <w:szCs w:val="18"/>
          </w:rPr>
          <w:t>https://doi.org/10.7901/2169-3358-2017.1.1</w:t>
        </w:r>
      </w:hyperlink>
      <w:r>
        <w:rPr>
          <w:rFonts w:ascii="Roboto" w:hAnsi="Roboto"/>
          <w:sz w:val="18"/>
          <w:szCs w:val="18"/>
        </w:rPr>
        <w:t xml:space="preserve"> </w:t>
      </w:r>
    </w:p>
  </w:footnote>
  <w:footnote w:id="3">
    <w:p w14:paraId="6FDA4B42" w14:textId="5762EBCE" w:rsidR="00ED11E5" w:rsidRPr="009706AD" w:rsidRDefault="00ED11E5">
      <w:pPr>
        <w:pStyle w:val="FootnoteText"/>
        <w:rPr>
          <w:rFonts w:ascii="Roboto" w:hAnsi="Roboto"/>
          <w:sz w:val="18"/>
          <w:szCs w:val="18"/>
        </w:rPr>
      </w:pPr>
      <w:r>
        <w:rPr>
          <w:rStyle w:val="FootnoteReference"/>
        </w:rPr>
        <w:footnoteRef/>
      </w:r>
      <w:r>
        <w:t xml:space="preserve"> </w:t>
      </w:r>
      <w:r w:rsidRPr="009706AD">
        <w:rPr>
          <w:rFonts w:ascii="Roboto" w:hAnsi="Roboto"/>
          <w:sz w:val="18"/>
          <w:szCs w:val="18"/>
        </w:rPr>
        <w:t>Available at</w:t>
      </w:r>
      <w:r w:rsidR="00951591">
        <w:rPr>
          <w:rFonts w:ascii="Roboto" w:hAnsi="Roboto"/>
          <w:sz w:val="18"/>
          <w:szCs w:val="18"/>
        </w:rPr>
        <w:t>:</w:t>
      </w:r>
      <w:r w:rsidRPr="009706AD">
        <w:rPr>
          <w:rFonts w:ascii="Roboto" w:hAnsi="Roboto"/>
          <w:sz w:val="18"/>
          <w:szCs w:val="18"/>
        </w:rPr>
        <w:t xml:space="preserve"> </w:t>
      </w:r>
      <w:hyperlink r:id="rId2" w:history="1">
        <w:r w:rsidRPr="009706AD">
          <w:rPr>
            <w:rStyle w:val="Hyperlink"/>
            <w:rFonts w:ascii="Roboto" w:hAnsi="Roboto"/>
            <w:sz w:val="18"/>
            <w:szCs w:val="18"/>
          </w:rPr>
          <w:t>https://retos.app</w:t>
        </w:r>
      </w:hyperlink>
      <w:r>
        <w:rPr>
          <w:rFonts w:ascii="Roboto" w:hAnsi="Roboto"/>
          <w:sz w:val="18"/>
          <w:szCs w:val="18"/>
        </w:rPr>
        <w:t xml:space="preserve"> </w:t>
      </w:r>
    </w:p>
  </w:footnote>
  <w:footnote w:id="4">
    <w:p w14:paraId="126344F4" w14:textId="7B7CECFB" w:rsidR="003D1978" w:rsidRPr="009706AD" w:rsidRDefault="003D1978">
      <w:pPr>
        <w:pStyle w:val="FootnoteText"/>
        <w:rPr>
          <w:rFonts w:ascii="Roboto" w:hAnsi="Roboto"/>
          <w:sz w:val="18"/>
          <w:szCs w:val="18"/>
        </w:rPr>
      </w:pPr>
      <w:r>
        <w:rPr>
          <w:rStyle w:val="FootnoteReference"/>
        </w:rPr>
        <w:footnoteRef/>
      </w:r>
      <w:r>
        <w:t xml:space="preserve"> </w:t>
      </w:r>
      <w:r w:rsidRPr="009706AD">
        <w:rPr>
          <w:rFonts w:ascii="Roboto" w:hAnsi="Roboto"/>
          <w:sz w:val="18"/>
          <w:szCs w:val="18"/>
        </w:rPr>
        <w:t xml:space="preserve">Available at: </w:t>
      </w:r>
      <w:hyperlink r:id="rId3" w:history="1">
        <w:r w:rsidRPr="009706AD">
          <w:rPr>
            <w:rStyle w:val="Hyperlink"/>
            <w:rFonts w:ascii="Roboto" w:hAnsi="Roboto"/>
            <w:sz w:val="18"/>
            <w:szCs w:val="18"/>
          </w:rPr>
          <w:t>https://arpel.org/hubfs/DocsRetos/international_guide_2023_vfinal_2.pdf</w:t>
        </w:r>
      </w:hyperlink>
      <w:r>
        <w:rPr>
          <w:rFonts w:ascii="Roboto" w:hAnsi="Roboto"/>
          <w:sz w:val="18"/>
          <w:szCs w:val="18"/>
        </w:rPr>
        <w:t xml:space="preserve"> </w:t>
      </w:r>
    </w:p>
  </w:footnote>
  <w:footnote w:id="5">
    <w:p w14:paraId="6DE35568" w14:textId="5A99DF53" w:rsidR="003D1978" w:rsidRPr="009706AD" w:rsidRDefault="003D1978">
      <w:pPr>
        <w:pStyle w:val="FootnoteText"/>
        <w:rPr>
          <w:rFonts w:ascii="Roboto" w:hAnsi="Roboto"/>
          <w:sz w:val="18"/>
          <w:szCs w:val="18"/>
        </w:rPr>
      </w:pPr>
      <w:r>
        <w:rPr>
          <w:rStyle w:val="FootnoteReference"/>
        </w:rPr>
        <w:footnoteRef/>
      </w:r>
      <w:r>
        <w:t xml:space="preserve"> </w:t>
      </w:r>
      <w:r w:rsidRPr="009706AD">
        <w:rPr>
          <w:rFonts w:ascii="Roboto" w:hAnsi="Roboto"/>
          <w:sz w:val="18"/>
          <w:szCs w:val="18"/>
        </w:rPr>
        <w:t xml:space="preserve">Available at: </w:t>
      </w:r>
      <w:hyperlink r:id="rId4" w:history="1">
        <w:r w:rsidRPr="009706AD">
          <w:rPr>
            <w:rStyle w:val="Hyperlink"/>
            <w:rFonts w:ascii="Roboto" w:hAnsi="Roboto"/>
            <w:sz w:val="18"/>
            <w:szCs w:val="18"/>
          </w:rPr>
          <w:t>https://arpel.org/hubfs/DocsRetos/RETOS_manual_ENGLISH_2024_final.pdf</w:t>
        </w:r>
      </w:hyperlink>
      <w:r>
        <w:rPr>
          <w:rFonts w:ascii="Roboto" w:hAnsi="Robot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7D17" w14:textId="77777777" w:rsidR="00226E48" w:rsidRDefault="00226E48" w:rsidP="002C77FC">
    <w:pPr>
      <w:pStyle w:val="Header"/>
    </w:pPr>
  </w:p>
  <w:p w14:paraId="16789DD2" w14:textId="77777777" w:rsidR="00226E48" w:rsidRDefault="00226E48" w:rsidP="002C77FC">
    <w:pPr>
      <w:pStyle w:val="Header"/>
    </w:pPr>
    <w:r>
      <w:rPr>
        <w:b/>
        <w:bCs/>
        <w:sz w:val="24"/>
        <w:szCs w:val="24"/>
      </w:rPr>
      <w:tab/>
    </w:r>
    <w:r>
      <w:rPr>
        <w:b/>
        <w:bCs/>
        <w:noProof/>
        <w:sz w:val="24"/>
        <w:szCs w:val="24"/>
        <w:lang w:eastAsia="zh-CN"/>
      </w:rPr>
      <w:drawing>
        <wp:inline distT="0" distB="0" distL="0" distR="0" wp14:anchorId="6A8529EF" wp14:editId="6F9130FE">
          <wp:extent cx="892142" cy="948690"/>
          <wp:effectExtent l="0" t="0" r="3810" b="381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TEHERAN.jpeg"/>
                  <pic:cNvPicPr>
                    <a:picLocks noChangeAspect="1"/>
                  </pic:cNvPicPr>
                </pic:nvPicPr>
                <pic:blipFill>
                  <a:blip r:embed="rId1"/>
                  <a:stretch>
                    <a:fillRect/>
                  </a:stretch>
                </pic:blipFill>
                <pic:spPr>
                  <a:xfrm>
                    <a:off x="0" y="0"/>
                    <a:ext cx="899840" cy="956876"/>
                  </a:xfrm>
                  <a:prstGeom prst="rect">
                    <a:avLst/>
                  </a:prstGeom>
                  <a:ln w="12700" cap="flat">
                    <a:noFill/>
                    <a:miter lim="400000"/>
                  </a:ln>
                  <a:effectLst/>
                </pic:spPr>
              </pic:pic>
            </a:graphicData>
          </a:graphic>
        </wp:inline>
      </w:drawing>
    </w:r>
  </w:p>
  <w:p w14:paraId="2C4B3930" w14:textId="77777777" w:rsidR="00226E48" w:rsidRDefault="00226E48" w:rsidP="002C77FC">
    <w:pPr>
      <w:pStyle w:val="Header"/>
      <w:rPr>
        <w:sz w:val="22"/>
        <w:szCs w:val="22"/>
      </w:rPr>
    </w:pPr>
  </w:p>
  <w:p w14:paraId="1A0937DC" w14:textId="6EA43998" w:rsidR="00BD07B3" w:rsidRDefault="00BD07B3" w:rsidP="00BD07B3">
    <w:pPr>
      <w:pStyle w:val="Header"/>
      <w:jc w:val="center"/>
      <w:rPr>
        <w:b/>
        <w:bCs/>
        <w:sz w:val="24"/>
        <w:szCs w:val="24"/>
      </w:rPr>
    </w:pPr>
    <w:r>
      <w:rPr>
        <w:b/>
        <w:bCs/>
        <w:sz w:val="24"/>
        <w:szCs w:val="24"/>
      </w:rPr>
      <w:t>Implementation and Operational Authorities Meeting</w:t>
    </w:r>
    <w:r>
      <w:rPr>
        <w:b/>
        <w:bCs/>
        <w:sz w:val="24"/>
        <w:szCs w:val="24"/>
      </w:rPr>
      <w:br/>
      <w:t>under the Aktau Protocol</w:t>
    </w:r>
    <w:r w:rsidR="00C2422E">
      <w:rPr>
        <w:b/>
        <w:bCs/>
        <w:sz w:val="24"/>
        <w:szCs w:val="24"/>
      </w:rPr>
      <w:t xml:space="preserve"> (8-10 October 2024)</w:t>
    </w:r>
  </w:p>
  <w:p w14:paraId="1C200082" w14:textId="4D93C613" w:rsidR="00226E48" w:rsidRDefault="0022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54F9"/>
    <w:multiLevelType w:val="hybridMultilevel"/>
    <w:tmpl w:val="854654E2"/>
    <w:lvl w:ilvl="0" w:tplc="001EFE76">
      <w:start w:val="22"/>
      <w:numFmt w:val="bullet"/>
      <w:lvlText w:val="-"/>
      <w:lvlJc w:val="left"/>
      <w:pPr>
        <w:ind w:left="2054" w:hanging="360"/>
      </w:pPr>
      <w:rPr>
        <w:rFonts w:ascii="Roboto" w:eastAsia="Arial Unicode MS" w:hAnsi="Roboto" w:cs="Arial Unicode MS" w:hint="default"/>
      </w:rPr>
    </w:lvl>
    <w:lvl w:ilvl="1" w:tplc="04090003" w:tentative="1">
      <w:start w:val="1"/>
      <w:numFmt w:val="bullet"/>
      <w:lvlText w:val="o"/>
      <w:lvlJc w:val="left"/>
      <w:pPr>
        <w:ind w:left="2774" w:hanging="360"/>
      </w:pPr>
      <w:rPr>
        <w:rFonts w:ascii="Courier New" w:hAnsi="Courier New" w:cs="Courier New" w:hint="default"/>
      </w:rPr>
    </w:lvl>
    <w:lvl w:ilvl="2" w:tplc="04090005" w:tentative="1">
      <w:start w:val="1"/>
      <w:numFmt w:val="bullet"/>
      <w:lvlText w:val=""/>
      <w:lvlJc w:val="left"/>
      <w:pPr>
        <w:ind w:left="3494" w:hanging="360"/>
      </w:pPr>
      <w:rPr>
        <w:rFonts w:ascii="Wingdings" w:hAnsi="Wingdings" w:hint="default"/>
      </w:rPr>
    </w:lvl>
    <w:lvl w:ilvl="3" w:tplc="04090001" w:tentative="1">
      <w:start w:val="1"/>
      <w:numFmt w:val="bullet"/>
      <w:lvlText w:val=""/>
      <w:lvlJc w:val="left"/>
      <w:pPr>
        <w:ind w:left="4214" w:hanging="360"/>
      </w:pPr>
      <w:rPr>
        <w:rFonts w:ascii="Symbol" w:hAnsi="Symbol" w:hint="default"/>
      </w:rPr>
    </w:lvl>
    <w:lvl w:ilvl="4" w:tplc="04090003" w:tentative="1">
      <w:start w:val="1"/>
      <w:numFmt w:val="bullet"/>
      <w:lvlText w:val="o"/>
      <w:lvlJc w:val="left"/>
      <w:pPr>
        <w:ind w:left="4934" w:hanging="360"/>
      </w:pPr>
      <w:rPr>
        <w:rFonts w:ascii="Courier New" w:hAnsi="Courier New" w:cs="Courier New" w:hint="default"/>
      </w:rPr>
    </w:lvl>
    <w:lvl w:ilvl="5" w:tplc="04090005" w:tentative="1">
      <w:start w:val="1"/>
      <w:numFmt w:val="bullet"/>
      <w:lvlText w:val=""/>
      <w:lvlJc w:val="left"/>
      <w:pPr>
        <w:ind w:left="5654" w:hanging="360"/>
      </w:pPr>
      <w:rPr>
        <w:rFonts w:ascii="Wingdings" w:hAnsi="Wingdings" w:hint="default"/>
      </w:rPr>
    </w:lvl>
    <w:lvl w:ilvl="6" w:tplc="04090001" w:tentative="1">
      <w:start w:val="1"/>
      <w:numFmt w:val="bullet"/>
      <w:lvlText w:val=""/>
      <w:lvlJc w:val="left"/>
      <w:pPr>
        <w:ind w:left="6374" w:hanging="360"/>
      </w:pPr>
      <w:rPr>
        <w:rFonts w:ascii="Symbol" w:hAnsi="Symbol" w:hint="default"/>
      </w:rPr>
    </w:lvl>
    <w:lvl w:ilvl="7" w:tplc="04090003" w:tentative="1">
      <w:start w:val="1"/>
      <w:numFmt w:val="bullet"/>
      <w:lvlText w:val="o"/>
      <w:lvlJc w:val="left"/>
      <w:pPr>
        <w:ind w:left="7094" w:hanging="360"/>
      </w:pPr>
      <w:rPr>
        <w:rFonts w:ascii="Courier New" w:hAnsi="Courier New" w:cs="Courier New" w:hint="default"/>
      </w:rPr>
    </w:lvl>
    <w:lvl w:ilvl="8" w:tplc="04090005" w:tentative="1">
      <w:start w:val="1"/>
      <w:numFmt w:val="bullet"/>
      <w:lvlText w:val=""/>
      <w:lvlJc w:val="left"/>
      <w:pPr>
        <w:ind w:left="7814" w:hanging="360"/>
      </w:pPr>
      <w:rPr>
        <w:rFonts w:ascii="Wingdings" w:hAnsi="Wingdings" w:hint="default"/>
      </w:rPr>
    </w:lvl>
  </w:abstractNum>
  <w:abstractNum w:abstractNumId="1" w15:restartNumberingAfterBreak="0">
    <w:nsid w:val="1A1B3F17"/>
    <w:multiLevelType w:val="hybridMultilevel"/>
    <w:tmpl w:val="6AA48D64"/>
    <w:lvl w:ilvl="0" w:tplc="84C8763C">
      <w:numFmt w:val="bullet"/>
      <w:lvlText w:val="-"/>
      <w:lvlJc w:val="left"/>
      <w:pPr>
        <w:ind w:left="2264" w:hanging="360"/>
      </w:pPr>
      <w:rPr>
        <w:rFonts w:ascii="Roboto" w:eastAsia="Arial Unicode MS" w:hAnsi="Roboto" w:cs="Arial Unicode MS" w:hint="default"/>
      </w:rPr>
    </w:lvl>
    <w:lvl w:ilvl="1" w:tplc="04090003" w:tentative="1">
      <w:start w:val="1"/>
      <w:numFmt w:val="bullet"/>
      <w:lvlText w:val="o"/>
      <w:lvlJc w:val="left"/>
      <w:pPr>
        <w:ind w:left="2984" w:hanging="360"/>
      </w:pPr>
      <w:rPr>
        <w:rFonts w:ascii="Courier New" w:hAnsi="Courier New" w:cs="Courier New" w:hint="default"/>
      </w:rPr>
    </w:lvl>
    <w:lvl w:ilvl="2" w:tplc="04090005" w:tentative="1">
      <w:start w:val="1"/>
      <w:numFmt w:val="bullet"/>
      <w:lvlText w:val=""/>
      <w:lvlJc w:val="left"/>
      <w:pPr>
        <w:ind w:left="3704" w:hanging="360"/>
      </w:pPr>
      <w:rPr>
        <w:rFonts w:ascii="Wingdings" w:hAnsi="Wingdings" w:hint="default"/>
      </w:rPr>
    </w:lvl>
    <w:lvl w:ilvl="3" w:tplc="04090001" w:tentative="1">
      <w:start w:val="1"/>
      <w:numFmt w:val="bullet"/>
      <w:lvlText w:val=""/>
      <w:lvlJc w:val="left"/>
      <w:pPr>
        <w:ind w:left="4424" w:hanging="360"/>
      </w:pPr>
      <w:rPr>
        <w:rFonts w:ascii="Symbol" w:hAnsi="Symbol" w:hint="default"/>
      </w:rPr>
    </w:lvl>
    <w:lvl w:ilvl="4" w:tplc="04090003" w:tentative="1">
      <w:start w:val="1"/>
      <w:numFmt w:val="bullet"/>
      <w:lvlText w:val="o"/>
      <w:lvlJc w:val="left"/>
      <w:pPr>
        <w:ind w:left="5144" w:hanging="360"/>
      </w:pPr>
      <w:rPr>
        <w:rFonts w:ascii="Courier New" w:hAnsi="Courier New" w:cs="Courier New" w:hint="default"/>
      </w:rPr>
    </w:lvl>
    <w:lvl w:ilvl="5" w:tplc="04090005" w:tentative="1">
      <w:start w:val="1"/>
      <w:numFmt w:val="bullet"/>
      <w:lvlText w:val=""/>
      <w:lvlJc w:val="left"/>
      <w:pPr>
        <w:ind w:left="5864" w:hanging="360"/>
      </w:pPr>
      <w:rPr>
        <w:rFonts w:ascii="Wingdings" w:hAnsi="Wingdings" w:hint="default"/>
      </w:rPr>
    </w:lvl>
    <w:lvl w:ilvl="6" w:tplc="04090001" w:tentative="1">
      <w:start w:val="1"/>
      <w:numFmt w:val="bullet"/>
      <w:lvlText w:val=""/>
      <w:lvlJc w:val="left"/>
      <w:pPr>
        <w:ind w:left="6584" w:hanging="360"/>
      </w:pPr>
      <w:rPr>
        <w:rFonts w:ascii="Symbol" w:hAnsi="Symbol" w:hint="default"/>
      </w:rPr>
    </w:lvl>
    <w:lvl w:ilvl="7" w:tplc="04090003" w:tentative="1">
      <w:start w:val="1"/>
      <w:numFmt w:val="bullet"/>
      <w:lvlText w:val="o"/>
      <w:lvlJc w:val="left"/>
      <w:pPr>
        <w:ind w:left="7304" w:hanging="360"/>
      </w:pPr>
      <w:rPr>
        <w:rFonts w:ascii="Courier New" w:hAnsi="Courier New" w:cs="Courier New" w:hint="default"/>
      </w:rPr>
    </w:lvl>
    <w:lvl w:ilvl="8" w:tplc="04090005" w:tentative="1">
      <w:start w:val="1"/>
      <w:numFmt w:val="bullet"/>
      <w:lvlText w:val=""/>
      <w:lvlJc w:val="left"/>
      <w:pPr>
        <w:ind w:left="8024" w:hanging="360"/>
      </w:pPr>
      <w:rPr>
        <w:rFonts w:ascii="Wingdings" w:hAnsi="Wingdings" w:hint="default"/>
      </w:rPr>
    </w:lvl>
  </w:abstractNum>
  <w:abstractNum w:abstractNumId="2" w15:restartNumberingAfterBreak="0">
    <w:nsid w:val="2134027A"/>
    <w:multiLevelType w:val="hybridMultilevel"/>
    <w:tmpl w:val="69D46A68"/>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 w15:restartNumberingAfterBreak="0">
    <w:nsid w:val="28D0625B"/>
    <w:multiLevelType w:val="hybridMultilevel"/>
    <w:tmpl w:val="F0EA05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8F46535"/>
    <w:multiLevelType w:val="hybridMultilevel"/>
    <w:tmpl w:val="CC36E0D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67EB76B8"/>
    <w:multiLevelType w:val="hybridMultilevel"/>
    <w:tmpl w:val="814EF0B0"/>
    <w:lvl w:ilvl="0" w:tplc="04090001">
      <w:start w:val="1"/>
      <w:numFmt w:val="bullet"/>
      <w:lvlText w:val=""/>
      <w:lvlJc w:val="left"/>
      <w:pPr>
        <w:ind w:left="2264" w:hanging="360"/>
      </w:pPr>
      <w:rPr>
        <w:rFonts w:ascii="Symbol" w:hAnsi="Symbol" w:hint="default"/>
      </w:rPr>
    </w:lvl>
    <w:lvl w:ilvl="1" w:tplc="04090003" w:tentative="1">
      <w:start w:val="1"/>
      <w:numFmt w:val="bullet"/>
      <w:lvlText w:val="o"/>
      <w:lvlJc w:val="left"/>
      <w:pPr>
        <w:ind w:left="2984" w:hanging="360"/>
      </w:pPr>
      <w:rPr>
        <w:rFonts w:ascii="Courier New" w:hAnsi="Courier New" w:cs="Courier New" w:hint="default"/>
      </w:rPr>
    </w:lvl>
    <w:lvl w:ilvl="2" w:tplc="04090005" w:tentative="1">
      <w:start w:val="1"/>
      <w:numFmt w:val="bullet"/>
      <w:lvlText w:val=""/>
      <w:lvlJc w:val="left"/>
      <w:pPr>
        <w:ind w:left="3704" w:hanging="360"/>
      </w:pPr>
      <w:rPr>
        <w:rFonts w:ascii="Wingdings" w:hAnsi="Wingdings" w:hint="default"/>
      </w:rPr>
    </w:lvl>
    <w:lvl w:ilvl="3" w:tplc="04090001" w:tentative="1">
      <w:start w:val="1"/>
      <w:numFmt w:val="bullet"/>
      <w:lvlText w:val=""/>
      <w:lvlJc w:val="left"/>
      <w:pPr>
        <w:ind w:left="4424" w:hanging="360"/>
      </w:pPr>
      <w:rPr>
        <w:rFonts w:ascii="Symbol" w:hAnsi="Symbol" w:hint="default"/>
      </w:rPr>
    </w:lvl>
    <w:lvl w:ilvl="4" w:tplc="04090003" w:tentative="1">
      <w:start w:val="1"/>
      <w:numFmt w:val="bullet"/>
      <w:lvlText w:val="o"/>
      <w:lvlJc w:val="left"/>
      <w:pPr>
        <w:ind w:left="5144" w:hanging="360"/>
      </w:pPr>
      <w:rPr>
        <w:rFonts w:ascii="Courier New" w:hAnsi="Courier New" w:cs="Courier New" w:hint="default"/>
      </w:rPr>
    </w:lvl>
    <w:lvl w:ilvl="5" w:tplc="04090005" w:tentative="1">
      <w:start w:val="1"/>
      <w:numFmt w:val="bullet"/>
      <w:lvlText w:val=""/>
      <w:lvlJc w:val="left"/>
      <w:pPr>
        <w:ind w:left="5864" w:hanging="360"/>
      </w:pPr>
      <w:rPr>
        <w:rFonts w:ascii="Wingdings" w:hAnsi="Wingdings" w:hint="default"/>
      </w:rPr>
    </w:lvl>
    <w:lvl w:ilvl="6" w:tplc="04090001" w:tentative="1">
      <w:start w:val="1"/>
      <w:numFmt w:val="bullet"/>
      <w:lvlText w:val=""/>
      <w:lvlJc w:val="left"/>
      <w:pPr>
        <w:ind w:left="6584" w:hanging="360"/>
      </w:pPr>
      <w:rPr>
        <w:rFonts w:ascii="Symbol" w:hAnsi="Symbol" w:hint="default"/>
      </w:rPr>
    </w:lvl>
    <w:lvl w:ilvl="7" w:tplc="04090003" w:tentative="1">
      <w:start w:val="1"/>
      <w:numFmt w:val="bullet"/>
      <w:lvlText w:val="o"/>
      <w:lvlJc w:val="left"/>
      <w:pPr>
        <w:ind w:left="7304" w:hanging="360"/>
      </w:pPr>
      <w:rPr>
        <w:rFonts w:ascii="Courier New" w:hAnsi="Courier New" w:cs="Courier New" w:hint="default"/>
      </w:rPr>
    </w:lvl>
    <w:lvl w:ilvl="8" w:tplc="04090005" w:tentative="1">
      <w:start w:val="1"/>
      <w:numFmt w:val="bullet"/>
      <w:lvlText w:val=""/>
      <w:lvlJc w:val="left"/>
      <w:pPr>
        <w:ind w:left="8024" w:hanging="360"/>
      </w:pPr>
      <w:rPr>
        <w:rFonts w:ascii="Wingdings" w:hAnsi="Wingdings" w:hint="default"/>
      </w:rPr>
    </w:lvl>
  </w:abstractNum>
  <w:num w:numId="1" w16cid:durableId="1548033505">
    <w:abstractNumId w:val="3"/>
  </w:num>
  <w:num w:numId="2" w16cid:durableId="1721324844">
    <w:abstractNumId w:val="1"/>
  </w:num>
  <w:num w:numId="3" w16cid:durableId="1263300320">
    <w:abstractNumId w:val="5"/>
  </w:num>
  <w:num w:numId="4" w16cid:durableId="1834449149">
    <w:abstractNumId w:val="4"/>
  </w:num>
  <w:num w:numId="5" w16cid:durableId="1789003907">
    <w:abstractNumId w:val="0"/>
  </w:num>
  <w:num w:numId="6" w16cid:durableId="767117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9B"/>
    <w:rsid w:val="0000588F"/>
    <w:rsid w:val="00007F19"/>
    <w:rsid w:val="00014500"/>
    <w:rsid w:val="00020874"/>
    <w:rsid w:val="0002087C"/>
    <w:rsid w:val="00021620"/>
    <w:rsid w:val="00022E63"/>
    <w:rsid w:val="000265D2"/>
    <w:rsid w:val="000439F0"/>
    <w:rsid w:val="00055867"/>
    <w:rsid w:val="000778BD"/>
    <w:rsid w:val="00077BE1"/>
    <w:rsid w:val="000A688B"/>
    <w:rsid w:val="000B253C"/>
    <w:rsid w:val="000B7A93"/>
    <w:rsid w:val="000C2C5D"/>
    <w:rsid w:val="000C4E93"/>
    <w:rsid w:val="000C51A8"/>
    <w:rsid w:val="000C79FF"/>
    <w:rsid w:val="000D5480"/>
    <w:rsid w:val="000D54A8"/>
    <w:rsid w:val="000E29B9"/>
    <w:rsid w:val="000F1690"/>
    <w:rsid w:val="000F21FA"/>
    <w:rsid w:val="000F4E57"/>
    <w:rsid w:val="00101675"/>
    <w:rsid w:val="001075A4"/>
    <w:rsid w:val="001078AB"/>
    <w:rsid w:val="00116E15"/>
    <w:rsid w:val="00127B1C"/>
    <w:rsid w:val="001322D4"/>
    <w:rsid w:val="00134D34"/>
    <w:rsid w:val="00141D59"/>
    <w:rsid w:val="00145A6A"/>
    <w:rsid w:val="001471CE"/>
    <w:rsid w:val="001534C4"/>
    <w:rsid w:val="00154044"/>
    <w:rsid w:val="0015621D"/>
    <w:rsid w:val="00157F11"/>
    <w:rsid w:val="00175F47"/>
    <w:rsid w:val="00187536"/>
    <w:rsid w:val="00190F7B"/>
    <w:rsid w:val="001942CF"/>
    <w:rsid w:val="001A2A2A"/>
    <w:rsid w:val="001A50CC"/>
    <w:rsid w:val="001B45EC"/>
    <w:rsid w:val="001C2BB6"/>
    <w:rsid w:val="001C53C2"/>
    <w:rsid w:val="001D0225"/>
    <w:rsid w:val="001E77E8"/>
    <w:rsid w:val="001F16A1"/>
    <w:rsid w:val="001F2290"/>
    <w:rsid w:val="001F4059"/>
    <w:rsid w:val="001F53FE"/>
    <w:rsid w:val="00201DE8"/>
    <w:rsid w:val="002132B2"/>
    <w:rsid w:val="0022397F"/>
    <w:rsid w:val="00226E48"/>
    <w:rsid w:val="002375D5"/>
    <w:rsid w:val="00244E7E"/>
    <w:rsid w:val="0024563F"/>
    <w:rsid w:val="00252B63"/>
    <w:rsid w:val="002575CF"/>
    <w:rsid w:val="002606B0"/>
    <w:rsid w:val="00266A93"/>
    <w:rsid w:val="00272C3A"/>
    <w:rsid w:val="00282F39"/>
    <w:rsid w:val="0029189F"/>
    <w:rsid w:val="002A415A"/>
    <w:rsid w:val="002C0603"/>
    <w:rsid w:val="002C77FC"/>
    <w:rsid w:val="002D2B73"/>
    <w:rsid w:val="002D5038"/>
    <w:rsid w:val="002D5910"/>
    <w:rsid w:val="002D5BFB"/>
    <w:rsid w:val="002D7DC9"/>
    <w:rsid w:val="002E4DB3"/>
    <w:rsid w:val="002E4E13"/>
    <w:rsid w:val="002E73DB"/>
    <w:rsid w:val="002F397D"/>
    <w:rsid w:val="002F58FA"/>
    <w:rsid w:val="002F5C2C"/>
    <w:rsid w:val="00326E0F"/>
    <w:rsid w:val="00333041"/>
    <w:rsid w:val="00352088"/>
    <w:rsid w:val="00354B3E"/>
    <w:rsid w:val="00355FF8"/>
    <w:rsid w:val="003606EB"/>
    <w:rsid w:val="00371B94"/>
    <w:rsid w:val="00377CB3"/>
    <w:rsid w:val="00382020"/>
    <w:rsid w:val="00382514"/>
    <w:rsid w:val="003829BB"/>
    <w:rsid w:val="00382BFE"/>
    <w:rsid w:val="00383673"/>
    <w:rsid w:val="00393886"/>
    <w:rsid w:val="003B4886"/>
    <w:rsid w:val="003C14FF"/>
    <w:rsid w:val="003D18A7"/>
    <w:rsid w:val="003D1978"/>
    <w:rsid w:val="003E1A71"/>
    <w:rsid w:val="003E37D4"/>
    <w:rsid w:val="003F2E3E"/>
    <w:rsid w:val="003F3037"/>
    <w:rsid w:val="00407EF7"/>
    <w:rsid w:val="00417993"/>
    <w:rsid w:val="00421111"/>
    <w:rsid w:val="00432670"/>
    <w:rsid w:val="004353EA"/>
    <w:rsid w:val="0043793E"/>
    <w:rsid w:val="004600EF"/>
    <w:rsid w:val="00460C1C"/>
    <w:rsid w:val="00480E34"/>
    <w:rsid w:val="004870C5"/>
    <w:rsid w:val="00496F54"/>
    <w:rsid w:val="004C6FB0"/>
    <w:rsid w:val="004D74F5"/>
    <w:rsid w:val="004F1CB8"/>
    <w:rsid w:val="004F333A"/>
    <w:rsid w:val="004F7579"/>
    <w:rsid w:val="005038A5"/>
    <w:rsid w:val="00514EC7"/>
    <w:rsid w:val="00516FF1"/>
    <w:rsid w:val="00527973"/>
    <w:rsid w:val="00540274"/>
    <w:rsid w:val="005412A8"/>
    <w:rsid w:val="005602FB"/>
    <w:rsid w:val="005603A5"/>
    <w:rsid w:val="00565229"/>
    <w:rsid w:val="0056585B"/>
    <w:rsid w:val="00570A67"/>
    <w:rsid w:val="00576EB6"/>
    <w:rsid w:val="00581BD6"/>
    <w:rsid w:val="005A5320"/>
    <w:rsid w:val="005B7C1D"/>
    <w:rsid w:val="005D0C79"/>
    <w:rsid w:val="005E08BC"/>
    <w:rsid w:val="005E1031"/>
    <w:rsid w:val="005E5EFE"/>
    <w:rsid w:val="005F00A3"/>
    <w:rsid w:val="005F2F4A"/>
    <w:rsid w:val="00605872"/>
    <w:rsid w:val="006235AB"/>
    <w:rsid w:val="0063235B"/>
    <w:rsid w:val="00634818"/>
    <w:rsid w:val="00641DD2"/>
    <w:rsid w:val="006433B9"/>
    <w:rsid w:val="0064580F"/>
    <w:rsid w:val="006745EB"/>
    <w:rsid w:val="0067576F"/>
    <w:rsid w:val="00676EA6"/>
    <w:rsid w:val="006917EA"/>
    <w:rsid w:val="006960BE"/>
    <w:rsid w:val="006A2599"/>
    <w:rsid w:val="006A6C8C"/>
    <w:rsid w:val="006B41A4"/>
    <w:rsid w:val="006C197D"/>
    <w:rsid w:val="006C7576"/>
    <w:rsid w:val="006D2994"/>
    <w:rsid w:val="006D2F21"/>
    <w:rsid w:val="006E1F13"/>
    <w:rsid w:val="006E4F58"/>
    <w:rsid w:val="006E5E8E"/>
    <w:rsid w:val="006F0F46"/>
    <w:rsid w:val="006F2A37"/>
    <w:rsid w:val="006F46B3"/>
    <w:rsid w:val="00703D1B"/>
    <w:rsid w:val="0070709F"/>
    <w:rsid w:val="00713AA7"/>
    <w:rsid w:val="007203A5"/>
    <w:rsid w:val="007244AF"/>
    <w:rsid w:val="00724FC3"/>
    <w:rsid w:val="007308A0"/>
    <w:rsid w:val="00730D66"/>
    <w:rsid w:val="00731FDA"/>
    <w:rsid w:val="00736CDE"/>
    <w:rsid w:val="00743785"/>
    <w:rsid w:val="007520E1"/>
    <w:rsid w:val="007625BE"/>
    <w:rsid w:val="00766186"/>
    <w:rsid w:val="00772CE9"/>
    <w:rsid w:val="007918ED"/>
    <w:rsid w:val="00794709"/>
    <w:rsid w:val="007A218A"/>
    <w:rsid w:val="007A4545"/>
    <w:rsid w:val="007A7A43"/>
    <w:rsid w:val="007B1EF9"/>
    <w:rsid w:val="007B4916"/>
    <w:rsid w:val="007B549B"/>
    <w:rsid w:val="007B6EA1"/>
    <w:rsid w:val="007E2ACC"/>
    <w:rsid w:val="007F3D4F"/>
    <w:rsid w:val="007F418B"/>
    <w:rsid w:val="007F659B"/>
    <w:rsid w:val="007F6E9F"/>
    <w:rsid w:val="007F6FE8"/>
    <w:rsid w:val="0080033C"/>
    <w:rsid w:val="008047DA"/>
    <w:rsid w:val="0081007D"/>
    <w:rsid w:val="008279DF"/>
    <w:rsid w:val="00834353"/>
    <w:rsid w:val="00835C3D"/>
    <w:rsid w:val="008377CC"/>
    <w:rsid w:val="00862F7D"/>
    <w:rsid w:val="008648C9"/>
    <w:rsid w:val="008659BB"/>
    <w:rsid w:val="00867C5E"/>
    <w:rsid w:val="00890A1D"/>
    <w:rsid w:val="008C6010"/>
    <w:rsid w:val="008C7968"/>
    <w:rsid w:val="008D1945"/>
    <w:rsid w:val="008E1AA3"/>
    <w:rsid w:val="008E4BDE"/>
    <w:rsid w:val="008E4DEB"/>
    <w:rsid w:val="009014EC"/>
    <w:rsid w:val="009107D6"/>
    <w:rsid w:val="00912669"/>
    <w:rsid w:val="009164A6"/>
    <w:rsid w:val="00951591"/>
    <w:rsid w:val="00953D16"/>
    <w:rsid w:val="009659CF"/>
    <w:rsid w:val="009706AD"/>
    <w:rsid w:val="00971832"/>
    <w:rsid w:val="0097429F"/>
    <w:rsid w:val="0098085E"/>
    <w:rsid w:val="0098610C"/>
    <w:rsid w:val="00991503"/>
    <w:rsid w:val="00993D2E"/>
    <w:rsid w:val="009A2A0D"/>
    <w:rsid w:val="009C100C"/>
    <w:rsid w:val="009C502C"/>
    <w:rsid w:val="009D1FD6"/>
    <w:rsid w:val="009D607C"/>
    <w:rsid w:val="009E29B9"/>
    <w:rsid w:val="009F3345"/>
    <w:rsid w:val="009F411C"/>
    <w:rsid w:val="00A04F68"/>
    <w:rsid w:val="00A1176A"/>
    <w:rsid w:val="00A23830"/>
    <w:rsid w:val="00A30408"/>
    <w:rsid w:val="00A31CDF"/>
    <w:rsid w:val="00A428FE"/>
    <w:rsid w:val="00A44F9C"/>
    <w:rsid w:val="00A46D7B"/>
    <w:rsid w:val="00A46F73"/>
    <w:rsid w:val="00A51267"/>
    <w:rsid w:val="00A647AD"/>
    <w:rsid w:val="00A97A93"/>
    <w:rsid w:val="00AA3CEE"/>
    <w:rsid w:val="00AA6C93"/>
    <w:rsid w:val="00AB5B9B"/>
    <w:rsid w:val="00AC68CE"/>
    <w:rsid w:val="00AE209A"/>
    <w:rsid w:val="00AF271F"/>
    <w:rsid w:val="00AF3FA1"/>
    <w:rsid w:val="00B017D3"/>
    <w:rsid w:val="00B15237"/>
    <w:rsid w:val="00B24ACE"/>
    <w:rsid w:val="00B2781C"/>
    <w:rsid w:val="00B3477B"/>
    <w:rsid w:val="00B56B79"/>
    <w:rsid w:val="00B6177B"/>
    <w:rsid w:val="00B6626B"/>
    <w:rsid w:val="00B72A35"/>
    <w:rsid w:val="00B76738"/>
    <w:rsid w:val="00B840C1"/>
    <w:rsid w:val="00BA6A4D"/>
    <w:rsid w:val="00BC2CBD"/>
    <w:rsid w:val="00BC5E1F"/>
    <w:rsid w:val="00BD07B3"/>
    <w:rsid w:val="00BD1CAE"/>
    <w:rsid w:val="00BD23BC"/>
    <w:rsid w:val="00BD4F54"/>
    <w:rsid w:val="00BE62AC"/>
    <w:rsid w:val="00BF3A1B"/>
    <w:rsid w:val="00BF41E5"/>
    <w:rsid w:val="00C038AD"/>
    <w:rsid w:val="00C2393B"/>
    <w:rsid w:val="00C2422E"/>
    <w:rsid w:val="00C247DC"/>
    <w:rsid w:val="00C370AD"/>
    <w:rsid w:val="00C4140D"/>
    <w:rsid w:val="00C43BE0"/>
    <w:rsid w:val="00C5443A"/>
    <w:rsid w:val="00C5499C"/>
    <w:rsid w:val="00C55522"/>
    <w:rsid w:val="00C558D2"/>
    <w:rsid w:val="00C62D30"/>
    <w:rsid w:val="00C63264"/>
    <w:rsid w:val="00C64A37"/>
    <w:rsid w:val="00CB0F16"/>
    <w:rsid w:val="00CD1D27"/>
    <w:rsid w:val="00D0199A"/>
    <w:rsid w:val="00D063D7"/>
    <w:rsid w:val="00D07B26"/>
    <w:rsid w:val="00D13684"/>
    <w:rsid w:val="00D256CE"/>
    <w:rsid w:val="00D30DEC"/>
    <w:rsid w:val="00D5292C"/>
    <w:rsid w:val="00D56C20"/>
    <w:rsid w:val="00D61A18"/>
    <w:rsid w:val="00D63113"/>
    <w:rsid w:val="00D63C50"/>
    <w:rsid w:val="00D86206"/>
    <w:rsid w:val="00DB3E1E"/>
    <w:rsid w:val="00DC5C09"/>
    <w:rsid w:val="00DC631F"/>
    <w:rsid w:val="00DC6957"/>
    <w:rsid w:val="00DC7C01"/>
    <w:rsid w:val="00DD05C7"/>
    <w:rsid w:val="00DE51FC"/>
    <w:rsid w:val="00E10DC6"/>
    <w:rsid w:val="00E12344"/>
    <w:rsid w:val="00E5109F"/>
    <w:rsid w:val="00E535BE"/>
    <w:rsid w:val="00E62CD4"/>
    <w:rsid w:val="00E64D15"/>
    <w:rsid w:val="00E737F0"/>
    <w:rsid w:val="00E80783"/>
    <w:rsid w:val="00E97A86"/>
    <w:rsid w:val="00EA06D0"/>
    <w:rsid w:val="00EB014B"/>
    <w:rsid w:val="00EB0C87"/>
    <w:rsid w:val="00EB210C"/>
    <w:rsid w:val="00EC78F2"/>
    <w:rsid w:val="00ED11E5"/>
    <w:rsid w:val="00ED12C8"/>
    <w:rsid w:val="00ED7CAE"/>
    <w:rsid w:val="00EF0430"/>
    <w:rsid w:val="00F068E9"/>
    <w:rsid w:val="00F27399"/>
    <w:rsid w:val="00F27493"/>
    <w:rsid w:val="00F323DE"/>
    <w:rsid w:val="00F36107"/>
    <w:rsid w:val="00F46FAF"/>
    <w:rsid w:val="00F7124C"/>
    <w:rsid w:val="00F7358D"/>
    <w:rsid w:val="00F77B42"/>
    <w:rsid w:val="00F956F7"/>
    <w:rsid w:val="00FA0FAF"/>
    <w:rsid w:val="00FB020B"/>
    <w:rsid w:val="00FB1CDC"/>
    <w:rsid w:val="00FB72F3"/>
    <w:rsid w:val="00FC5AEB"/>
    <w:rsid w:val="00FC69C2"/>
    <w:rsid w:val="00FE0975"/>
    <w:rsid w:val="00FF7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3B7D1"/>
  <w15:chartTrackingRefBased/>
  <w15:docId w15:val="{495C2FAE-8A67-41C8-A0B9-843303E7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77F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28"/>
      <w:sz w:val="20"/>
      <w:szCs w:val="20"/>
      <w:u w:color="00000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77FC"/>
    <w:pPr>
      <w:tabs>
        <w:tab w:val="center" w:pos="4680"/>
        <w:tab w:val="right" w:pos="9360"/>
      </w:tabs>
    </w:pPr>
  </w:style>
  <w:style w:type="character" w:customStyle="1" w:styleId="HeaderChar">
    <w:name w:val="Header Char"/>
    <w:basedOn w:val="DefaultParagraphFont"/>
    <w:link w:val="Header"/>
    <w:uiPriority w:val="99"/>
    <w:rsid w:val="002C77FC"/>
  </w:style>
  <w:style w:type="paragraph" w:styleId="Footer">
    <w:name w:val="footer"/>
    <w:basedOn w:val="Normal"/>
    <w:link w:val="FooterChar"/>
    <w:uiPriority w:val="99"/>
    <w:unhideWhenUsed/>
    <w:rsid w:val="002C77FC"/>
    <w:pPr>
      <w:tabs>
        <w:tab w:val="center" w:pos="4680"/>
        <w:tab w:val="right" w:pos="9360"/>
      </w:tabs>
    </w:pPr>
  </w:style>
  <w:style w:type="character" w:customStyle="1" w:styleId="FooterChar">
    <w:name w:val="Footer Char"/>
    <w:basedOn w:val="DefaultParagraphFont"/>
    <w:link w:val="Footer"/>
    <w:uiPriority w:val="99"/>
    <w:rsid w:val="002C77FC"/>
  </w:style>
  <w:style w:type="character" w:styleId="CommentReference">
    <w:name w:val="annotation reference"/>
    <w:basedOn w:val="DefaultParagraphFont"/>
    <w:uiPriority w:val="99"/>
    <w:semiHidden/>
    <w:unhideWhenUsed/>
    <w:rsid w:val="002C77FC"/>
    <w:rPr>
      <w:sz w:val="16"/>
      <w:szCs w:val="16"/>
    </w:rPr>
  </w:style>
  <w:style w:type="paragraph" w:styleId="CommentText">
    <w:name w:val="annotation text"/>
    <w:basedOn w:val="Normal"/>
    <w:link w:val="CommentTextChar"/>
    <w:uiPriority w:val="99"/>
    <w:semiHidden/>
    <w:unhideWhenUsed/>
    <w:rsid w:val="002C77FC"/>
  </w:style>
  <w:style w:type="character" w:customStyle="1" w:styleId="CommentTextChar">
    <w:name w:val="Comment Text Char"/>
    <w:basedOn w:val="DefaultParagraphFont"/>
    <w:link w:val="CommentText"/>
    <w:uiPriority w:val="99"/>
    <w:semiHidden/>
    <w:rsid w:val="002C77FC"/>
    <w:rPr>
      <w:rFonts w:ascii="Times New Roman" w:eastAsia="Arial Unicode MS" w:hAnsi="Times New Roman" w:cs="Arial Unicode MS"/>
      <w:color w:val="000000"/>
      <w:kern w:val="28"/>
      <w:sz w:val="20"/>
      <w:szCs w:val="20"/>
      <w:u w:color="000000"/>
      <w:bdr w:val="nil"/>
      <w:lang w:eastAsia="en-GB"/>
    </w:rPr>
  </w:style>
  <w:style w:type="paragraph" w:styleId="BalloonText">
    <w:name w:val="Balloon Text"/>
    <w:basedOn w:val="Normal"/>
    <w:link w:val="BalloonTextChar"/>
    <w:uiPriority w:val="99"/>
    <w:semiHidden/>
    <w:unhideWhenUsed/>
    <w:rsid w:val="002C7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7FC"/>
    <w:rPr>
      <w:rFonts w:ascii="Segoe UI" w:eastAsia="Arial Unicode MS" w:hAnsi="Segoe UI" w:cs="Segoe UI"/>
      <w:color w:val="000000"/>
      <w:kern w:val="28"/>
      <w:sz w:val="18"/>
      <w:szCs w:val="18"/>
      <w:u w:color="000000"/>
      <w:bdr w:val="nil"/>
      <w:lang w:eastAsia="en-GB"/>
    </w:rPr>
  </w:style>
  <w:style w:type="table" w:styleId="TableGrid">
    <w:name w:val="Table Grid"/>
    <w:basedOn w:val="TableNormal"/>
    <w:uiPriority w:val="39"/>
    <w:rsid w:val="00A1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5BE"/>
    <w:pPr>
      <w:ind w:left="720"/>
      <w:contextualSpacing/>
    </w:pPr>
  </w:style>
  <w:style w:type="paragraph" w:styleId="Date">
    <w:name w:val="Date"/>
    <w:basedOn w:val="Normal"/>
    <w:next w:val="Normal"/>
    <w:link w:val="DateChar"/>
    <w:uiPriority w:val="99"/>
    <w:semiHidden/>
    <w:unhideWhenUsed/>
    <w:rsid w:val="006917EA"/>
  </w:style>
  <w:style w:type="character" w:customStyle="1" w:styleId="DateChar">
    <w:name w:val="Date Char"/>
    <w:basedOn w:val="DefaultParagraphFont"/>
    <w:link w:val="Date"/>
    <w:uiPriority w:val="99"/>
    <w:semiHidden/>
    <w:rsid w:val="006917EA"/>
    <w:rPr>
      <w:rFonts w:ascii="Times New Roman" w:eastAsia="Arial Unicode MS" w:hAnsi="Times New Roman" w:cs="Arial Unicode MS"/>
      <w:color w:val="000000"/>
      <w:kern w:val="28"/>
      <w:sz w:val="20"/>
      <w:szCs w:val="20"/>
      <w:u w:color="000000"/>
      <w:bdr w:val="nil"/>
      <w:lang w:eastAsia="en-GB"/>
    </w:rPr>
  </w:style>
  <w:style w:type="paragraph" w:styleId="Revision">
    <w:name w:val="Revision"/>
    <w:hidden/>
    <w:uiPriority w:val="99"/>
    <w:semiHidden/>
    <w:rsid w:val="00C247DC"/>
    <w:pPr>
      <w:spacing w:after="0" w:line="240" w:lineRule="auto"/>
    </w:pPr>
    <w:rPr>
      <w:rFonts w:ascii="Times New Roman" w:eastAsia="Arial Unicode MS" w:hAnsi="Times New Roman" w:cs="Arial Unicode MS"/>
      <w:color w:val="000000"/>
      <w:kern w:val="28"/>
      <w:sz w:val="20"/>
      <w:szCs w:val="20"/>
      <w:u w:color="000000"/>
      <w:bdr w:val="nil"/>
      <w:lang w:eastAsia="en-GB"/>
    </w:rPr>
  </w:style>
  <w:style w:type="paragraph" w:styleId="CommentSubject">
    <w:name w:val="annotation subject"/>
    <w:basedOn w:val="CommentText"/>
    <w:next w:val="CommentText"/>
    <w:link w:val="CommentSubjectChar"/>
    <w:uiPriority w:val="99"/>
    <w:semiHidden/>
    <w:unhideWhenUsed/>
    <w:rsid w:val="00C5499C"/>
    <w:rPr>
      <w:b/>
      <w:bCs/>
    </w:rPr>
  </w:style>
  <w:style w:type="character" w:customStyle="1" w:styleId="CommentSubjectChar">
    <w:name w:val="Comment Subject Char"/>
    <w:basedOn w:val="CommentTextChar"/>
    <w:link w:val="CommentSubject"/>
    <w:uiPriority w:val="99"/>
    <w:semiHidden/>
    <w:rsid w:val="00C5499C"/>
    <w:rPr>
      <w:rFonts w:ascii="Times New Roman" w:eastAsia="Arial Unicode MS" w:hAnsi="Times New Roman" w:cs="Arial Unicode MS"/>
      <w:b/>
      <w:bCs/>
      <w:color w:val="000000"/>
      <w:kern w:val="28"/>
      <w:sz w:val="20"/>
      <w:szCs w:val="20"/>
      <w:u w:color="000000"/>
      <w:bdr w:val="nil"/>
      <w:lang w:eastAsia="en-GB"/>
    </w:rPr>
  </w:style>
  <w:style w:type="character" w:styleId="Hyperlink">
    <w:name w:val="Hyperlink"/>
    <w:basedOn w:val="DefaultParagraphFont"/>
    <w:uiPriority w:val="99"/>
    <w:unhideWhenUsed/>
    <w:rsid w:val="0056585B"/>
    <w:rPr>
      <w:color w:val="0563C1" w:themeColor="hyperlink"/>
      <w:u w:val="single"/>
    </w:rPr>
  </w:style>
  <w:style w:type="character" w:styleId="UnresolvedMention">
    <w:name w:val="Unresolved Mention"/>
    <w:basedOn w:val="DefaultParagraphFont"/>
    <w:uiPriority w:val="99"/>
    <w:semiHidden/>
    <w:unhideWhenUsed/>
    <w:rsid w:val="0056585B"/>
    <w:rPr>
      <w:color w:val="605E5C"/>
      <w:shd w:val="clear" w:color="auto" w:fill="E1DFDD"/>
    </w:rPr>
  </w:style>
  <w:style w:type="paragraph" w:styleId="FootnoteText">
    <w:name w:val="footnote text"/>
    <w:basedOn w:val="Normal"/>
    <w:link w:val="FootnoteTextChar"/>
    <w:uiPriority w:val="99"/>
    <w:semiHidden/>
    <w:unhideWhenUsed/>
    <w:rsid w:val="00187536"/>
  </w:style>
  <w:style w:type="character" w:customStyle="1" w:styleId="FootnoteTextChar">
    <w:name w:val="Footnote Text Char"/>
    <w:basedOn w:val="DefaultParagraphFont"/>
    <w:link w:val="FootnoteText"/>
    <w:uiPriority w:val="99"/>
    <w:semiHidden/>
    <w:rsid w:val="00187536"/>
    <w:rPr>
      <w:rFonts w:ascii="Times New Roman" w:eastAsia="Arial Unicode MS" w:hAnsi="Times New Roman" w:cs="Arial Unicode MS"/>
      <w:color w:val="000000"/>
      <w:kern w:val="28"/>
      <w:sz w:val="20"/>
      <w:szCs w:val="20"/>
      <w:u w:color="000000"/>
      <w:bdr w:val="nil"/>
      <w:lang w:eastAsia="en-GB"/>
    </w:rPr>
  </w:style>
  <w:style w:type="character" w:styleId="FootnoteReference">
    <w:name w:val="footnote reference"/>
    <w:basedOn w:val="DefaultParagraphFont"/>
    <w:uiPriority w:val="99"/>
    <w:semiHidden/>
    <w:unhideWhenUsed/>
    <w:rsid w:val="00187536"/>
    <w:rPr>
      <w:vertAlign w:val="superscript"/>
    </w:rPr>
  </w:style>
  <w:style w:type="character" w:styleId="FollowedHyperlink">
    <w:name w:val="FollowedHyperlink"/>
    <w:basedOn w:val="DefaultParagraphFont"/>
    <w:uiPriority w:val="99"/>
    <w:semiHidden/>
    <w:unhideWhenUsed/>
    <w:rsid w:val="00E510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pel.org/hubfs/DocsRetos/international_guide_2023_vfinal_2.pdf" TargetMode="External"/><Relationship Id="rId2" Type="http://schemas.openxmlformats.org/officeDocument/2006/relationships/hyperlink" Target="https://retos.app" TargetMode="External"/><Relationship Id="rId1" Type="http://schemas.openxmlformats.org/officeDocument/2006/relationships/hyperlink" Target="https://doi.org/10.7901/2169-3358-2017.1.1" TargetMode="External"/><Relationship Id="rId4" Type="http://schemas.openxmlformats.org/officeDocument/2006/relationships/hyperlink" Target="https://arpel.org/hubfs/DocsRetos/RETOS_manual_ENGLISH_2024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1606-8825-4983-BE04-67F61208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Benko</dc:creator>
  <cp:keywords/>
  <dc:description/>
  <cp:lastModifiedBy>Kristina Russkikh</cp:lastModifiedBy>
  <cp:revision>4</cp:revision>
  <cp:lastPrinted>2020-02-18T17:19:00Z</cp:lastPrinted>
  <dcterms:created xsi:type="dcterms:W3CDTF">2024-08-08T06:50:00Z</dcterms:created>
  <dcterms:modified xsi:type="dcterms:W3CDTF">2024-09-19T12:42:00Z</dcterms:modified>
</cp:coreProperties>
</file>